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e936" w14:textId="f09e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Күштерінің, басқа да әскерлері мен әскери құралымдарының жалпыәскери жарғыларын бекіту туралы" Қазақстан Республикасы Президентінің 2007 жылғы 5 шілдедегі № 364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16 қыркүйектегі № 655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Күштерінің, басқа да әскерлері мен әскери құралымдарының жалпыәскери жарғыларын бекіту туралы" Қазақстан Республикасы Президентінің 2007 жылғы 5 шілдедегі № 364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Қарулы Күштерінің, басқа да әскерлері мен әскери құралымдарының тәртіптік </w:t>
      </w:r>
      <w:r>
        <w:rPr>
          <w:rFonts w:ascii="Times New Roman"/>
          <w:b w:val="false"/>
          <w:i w:val="false"/>
          <w:color w:val="000000"/>
          <w:sz w:val="28"/>
        </w:rPr>
        <w:t>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Тәртіптік жарғыға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тармақшаның екінші бөлігінің жетінші абзацы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"ақшалай немесе өзге де мүліктік сипаттағы құмар ойынға қатысуы және (немесе) ақшаға, заттарға және өзге де құндылыққа бәс тігу әскери қызметке кір келтіретін теріс қылық болып табылады;".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