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1993" w14:textId="6291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Байқоныр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23 желтоқсандағы № 393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реформалауға байланысты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40-41, 375-құжат)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xml:space="preserve">
      жоғарыда аталған Жарлықпен мақұлданған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 </w:t>
      </w:r>
      <w:r>
        <w:rPr>
          <w:rFonts w:ascii="Times New Roman"/>
          <w:b w:val="false"/>
          <w:i w:val="false"/>
          <w:color w:val="000000"/>
          <w:sz w:val="28"/>
        </w:rPr>
        <w:t>жобасында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үшінші абзацы мынадай редакцияда жазылсын:</w:t>
      </w:r>
    </w:p>
    <w:bookmarkStart w:name="z7" w:id="4"/>
    <w:p>
      <w:pPr>
        <w:spacing w:after="0"/>
        <w:ind w:left="0"/>
        <w:jc w:val="both"/>
      </w:pP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мынадай мемлекеттік органдары жұмыс істейді: сот, прокуратура, Қазақстан Республикасының Қорғаныс және аэроғарыш өнеркәсібі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қауіпсіздік комитеті Шекара қызметінің бөлімшесі,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 филиалы.".</w:t>
      </w:r>
    </w:p>
    <w:bookmarkEnd w:id="4"/>
    <w:bookmarkStart w:name="z8"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