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d87e" w14:textId="be4d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қол қою туралы" Қазақстан Республикасы Президентінің 2014 жылғы 27 наурыздағы № 773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2014 жылғы 20 қарашадағы № 963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қол қою туралы» Қазақстан Республикасы Президентінің 2014 жылғы 27 наурыздағы № 773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