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9efd2" w14:textId="279ef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 шығару жұмысының 2013-2016 жылдарға арналған тұжырымдамалық жоспарын бекіту туралы (Қазақстан Республикасы Парламентінің бесінші шақырылымы)</w:t>
      </w:r>
    </w:p>
    <w:p>
      <w:pPr>
        <w:spacing w:after="0"/>
        <w:ind w:left="0"/>
        <w:jc w:val="both"/>
      </w:pPr>
      <w:r>
        <w:rPr>
          <w:rFonts w:ascii="Times New Roman"/>
          <w:b w:val="false"/>
          <w:i w:val="false"/>
          <w:color w:val="000000"/>
          <w:sz w:val="28"/>
        </w:rPr>
        <w:t>Қазақстан Республикасы Президентінің 2013 жылғы 9 тамыздағы № 610 Жарлығы</w:t>
      </w:r>
    </w:p>
    <w:p>
      <w:pPr>
        <w:spacing w:after="0"/>
        <w:ind w:left="0"/>
        <w:jc w:val="both"/>
      </w:pPr>
      <w:bookmarkStart w:name="z1" w:id="0"/>
      <w:r>
        <w:rPr>
          <w:rFonts w:ascii="Times New Roman"/>
          <w:b w:val="false"/>
          <w:i w:val="false"/>
          <w:color w:val="000000"/>
          <w:sz w:val="28"/>
        </w:rPr>
        <w:t>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Заң шығару жұмысының 2013-2016 жылдарға арналған </w:t>
      </w:r>
      <w:r>
        <w:rPr>
          <w:rFonts w:ascii="Times New Roman"/>
          <w:b w:val="false"/>
          <w:i w:val="false"/>
          <w:color w:val="000000"/>
          <w:sz w:val="28"/>
        </w:rPr>
        <w:t>тұжырымдамалық жоспары</w:t>
      </w:r>
      <w:r>
        <w:rPr>
          <w:rFonts w:ascii="Times New Roman"/>
          <w:b w:val="false"/>
          <w:i w:val="false"/>
          <w:color w:val="000000"/>
          <w:sz w:val="28"/>
        </w:rPr>
        <w:t xml:space="preserve"> (Қазақстан Республикасы Парламентінің бесінші шақырылымы) (бұдан әрі - Тұжырымдамалық жоспар)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w:t>
      </w:r>
      <w:r>
        <w:br/>
      </w:r>
      <w:r>
        <w:rPr>
          <w:rFonts w:ascii="Times New Roman"/>
          <w:b w:val="false"/>
          <w:i w:val="false"/>
          <w:color w:val="000000"/>
          <w:sz w:val="28"/>
        </w:rPr>
        <w:t>
      1) Тұжырымдамалық жоспарды іске асыруды қамтамасыз етсін;</w:t>
      </w:r>
      <w:r>
        <w:br/>
      </w:r>
      <w:r>
        <w:rPr>
          <w:rFonts w:ascii="Times New Roman"/>
          <w:b w:val="false"/>
          <w:i w:val="false"/>
          <w:color w:val="000000"/>
          <w:sz w:val="28"/>
        </w:rPr>
        <w:t>
      2) жыл сайын, 25 қаңтарға қарай жыл қорытындылары бойынша Қазақстан Республикасы Президентінің Әкімшілігіне Тұжырымдамалық жоспардың орындалу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3. Осы Жарлықтың орындалуын бақылау Қазақстан Республикасы</w:t>
      </w:r>
      <w:r>
        <w:br/>
      </w:r>
      <w:r>
        <w:rPr>
          <w:rFonts w:ascii="Times New Roman"/>
          <w:b w:val="false"/>
          <w:i w:val="false"/>
          <w:color w:val="000000"/>
          <w:sz w:val="28"/>
        </w:rPr>
        <w:t>
Президентінің Әкімшілігіне жүктелсін.</w:t>
      </w:r>
      <w:r>
        <w:br/>
      </w:r>
      <w:r>
        <w:rPr>
          <w:rFonts w:ascii="Times New Roman"/>
          <w:b w:val="false"/>
          <w:i w:val="false"/>
          <w:color w:val="000000"/>
          <w:sz w:val="28"/>
        </w:rPr>
        <w:t>
</w:t>
      </w:r>
      <w:r>
        <w:rPr>
          <w:rFonts w:ascii="Times New Roman"/>
          <w:b w:val="false"/>
          <w:i w:val="false"/>
          <w:color w:val="000000"/>
          <w:sz w:val="28"/>
        </w:rPr>
        <w:t>
      4.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6" w:id="1"/>
    <w:p>
      <w:pPr>
        <w:spacing w:after="0"/>
        <w:ind w:left="0"/>
        <w:jc w:val="left"/>
      </w:pPr>
      <w:r>
        <w:rPr>
          <w:rFonts w:ascii="Times New Roman"/>
          <w:b/>
          <w:i w:val="false"/>
          <w:color w:val="000000"/>
        </w:rPr>
        <w:t xml:space="preserve"> 
Заң шығару жұмысының 2013-2016 жылдарға арналған тұжырымдамалық жоспары (Қазақстан Республикасы Парламентінің бесінші шақырылымы)</w:t>
      </w:r>
      <w:r>
        <w:br/>
      </w:r>
      <w:r>
        <w:rPr>
          <w:rFonts w:ascii="Times New Roman"/>
          <w:b/>
          <w:i w:val="false"/>
          <w:color w:val="000000"/>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10753"/>
      </w:tblGrid>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Парламент сессиялары/ жартыжылдықтар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Заңнама блоктары, олардың аясында заңнаманы жетілдіру жүзеге асырылады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2013 - 2014 жылдар (3-сессия)</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тұрғын үй, азаматтық, қылмыстық, қылмыстық іс жүргізу, қылмыстық-атқару, әкімшілік-деликт, шаруашылық, қаржы, табиғат қорғау заңнамасы, сондай-ақ сыбайлас жемқорлыққа қарсы, азаматтық қорғау, медиация, сот жүйесі, атқарушылық іс жүргізу, бағалау қызметі, халықаралық көмек, құқықтық актілер саласындағы заңнама</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жылғы екінші жартыжылдық</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Азаматтық қорғау саласындағы заңнаманы жетілдіру</w:t>
            </w:r>
            <w:r>
              <w:br/>
            </w:r>
            <w:r>
              <w:rPr>
                <w:rFonts w:ascii="Times New Roman"/>
                <w:b w:val="false"/>
                <w:i w:val="false"/>
                <w:color w:val="000000"/>
                <w:sz w:val="20"/>
              </w:rPr>
              <w:t>
Табиғи және техногендік сипаттағы төтенше жағдайлар, азаматтық қорғаныс, өрт және өнеркәсіптік қауіпсіздік, авариялық-құтқару қызметтері, мемлекеттік материалдық резерв саласындағы құқықтық реттеудің сапасы мен деңгейін арттыру мақсатында қоғамдық қатынастардың осы салаларындағы қатынастарды реттейтін заңнамалық актілерді шоғырландыру талап етіледі.</w:t>
            </w:r>
          </w:p>
          <w:p>
            <w:pPr>
              <w:spacing w:after="20"/>
              <w:ind w:left="20"/>
              <w:jc w:val="both"/>
            </w:pPr>
            <w:r>
              <w:rPr>
                <w:rFonts w:ascii="Times New Roman"/>
                <w:b/>
                <w:i w:val="false"/>
                <w:color w:val="000000"/>
                <w:sz w:val="20"/>
              </w:rPr>
              <w:t>Денсаулық сақтау саласындағы заңнаманы жетілдіру</w:t>
            </w:r>
            <w:r>
              <w:br/>
            </w:r>
            <w:r>
              <w:rPr>
                <w:rFonts w:ascii="Times New Roman"/>
                <w:b w:val="false"/>
                <w:i w:val="false"/>
                <w:color w:val="000000"/>
                <w:sz w:val="20"/>
              </w:rPr>
              <w:t>
Денсаулық сақтау саласындағы қолданыстағы заңнамада медициналық қызметтер көрсету нарығының қарқынды дамуы, жаңа технологиялардың дамуы, жаңа дәрілік заттардың пайда болуы, қаржыландыру жүйесін түпкілікті оң нәтижеге қол жеткізуге бағыттай отырып, одан әрі жетілдіру, медицина ғылымы мен практикада жаңа инновациялық бағыттарды қалыптастыру және енгізу сияқты өмірлік маңызы бар факторлар жеткілікті ескерілмеген.</w:t>
            </w:r>
            <w:r>
              <w:br/>
            </w:r>
            <w:r>
              <w:rPr>
                <w:rFonts w:ascii="Times New Roman"/>
                <w:b w:val="false"/>
                <w:i w:val="false"/>
                <w:color w:val="000000"/>
                <w:sz w:val="20"/>
              </w:rPr>
              <w:t>
Кеден одағы шеңберінде де медициналық мақсаттағы бұйымдар мен медициналық техниканы қолдануды реттейтін құқықтық базаны жетілдіру қажеттігі туындап отыр.</w:t>
            </w:r>
            <w:r>
              <w:br/>
            </w:r>
            <w:r>
              <w:rPr>
                <w:rFonts w:ascii="Times New Roman"/>
                <w:b w:val="false"/>
                <w:i w:val="false"/>
                <w:color w:val="000000"/>
                <w:sz w:val="20"/>
              </w:rPr>
              <w:t>
Дәрілік заттарды ұтымсыз пайдалануға жол бермеу, дәрілік заттарды бақылаусыз қолданумен байланысты пациенттердің денсаулығына төнетін қауіпті азайту мақсатында медициналық өнім жарнамасының тәсілдерін қатаңдату қажет.</w:t>
            </w:r>
          </w:p>
          <w:p>
            <w:pPr>
              <w:spacing w:after="20"/>
              <w:ind w:left="20"/>
              <w:jc w:val="both"/>
            </w:pPr>
            <w:r>
              <w:rPr>
                <w:rFonts w:ascii="Times New Roman"/>
                <w:b/>
                <w:i w:val="false"/>
                <w:color w:val="000000"/>
                <w:sz w:val="20"/>
              </w:rPr>
              <w:t>Жастар саясаты саласындағы заңнаманы жетілдіру</w:t>
            </w:r>
            <w:r>
              <w:br/>
            </w:r>
            <w:r>
              <w:rPr>
                <w:rFonts w:ascii="Times New Roman"/>
                <w:b w:val="false"/>
                <w:i w:val="false"/>
                <w:color w:val="000000"/>
                <w:sz w:val="20"/>
              </w:rPr>
              <w:t>
Қазіргі уақытта мемлекеттік жастар саясатының бағыттарын кеңейту үшін «әлеуметтік лифтілер» тетіктерін, сондай-ақ мемлекеттік жастар саясатын іске асыру аясында республикалық және өңірлік деңгейлерде өзара іс-қимыл үшін құқықтық алаң құру қажеттігі туындап отыр.</w:t>
            </w:r>
          </w:p>
          <w:p>
            <w:pPr>
              <w:spacing w:after="20"/>
              <w:ind w:left="20"/>
              <w:jc w:val="both"/>
            </w:pPr>
            <w:r>
              <w:rPr>
                <w:rFonts w:ascii="Times New Roman"/>
                <w:b/>
                <w:i w:val="false"/>
                <w:color w:val="000000"/>
                <w:sz w:val="20"/>
              </w:rPr>
              <w:t>Еңбек қатынастары саласындағы заңнаманы жетілдіру</w:t>
            </w:r>
            <w:r>
              <w:br/>
            </w:r>
            <w:r>
              <w:rPr>
                <w:rFonts w:ascii="Times New Roman"/>
                <w:b w:val="false"/>
                <w:i w:val="false"/>
                <w:color w:val="000000"/>
                <w:sz w:val="20"/>
              </w:rPr>
              <w:t>
Нарықтық экономика, еңбек нарығының және халықты жұмыспен қамту проблемаларының болуы жағдайларында еңбек құқығы қатынастары мәселесі өзекті болып табылады. Осыған байланысты еңбек заңнамасын қолдану практикасын жүйелі талдау және осы саладағы халықаралық тәжірибені есепке алу негізінде оны ұдайы жетілдіріп отыру қажет.</w:t>
            </w:r>
            <w:r>
              <w:br/>
            </w:r>
            <w:r>
              <w:rPr>
                <w:rFonts w:ascii="Times New Roman"/>
                <w:b w:val="false"/>
                <w:i w:val="false"/>
                <w:color w:val="000000"/>
                <w:sz w:val="20"/>
              </w:rPr>
              <w:t>
Бұл ретте еңбек қызметінің сипаты мен жұмыскерлердің еңбек жағдайларына қарай еңбек және әлеуметтік заңнаманы одан әрі саралау, сондай-ақ әлеуметтік әріптестікті қолдану саласы мен оның құралдарын кеңейту мәселелері пысықтауды талап етеді.</w:t>
            </w:r>
            <w:r>
              <w:br/>
            </w:r>
            <w:r>
              <w:rPr>
                <w:rFonts w:ascii="Times New Roman"/>
                <w:b w:val="false"/>
                <w:i w:val="false"/>
                <w:color w:val="000000"/>
                <w:sz w:val="20"/>
              </w:rPr>
              <w:t>
1. Кәсіподақ институттарын жаңғырту</w:t>
            </w:r>
            <w:r>
              <w:br/>
            </w:r>
            <w:r>
              <w:rPr>
                <w:rFonts w:ascii="Times New Roman"/>
                <w:b w:val="false"/>
                <w:i w:val="false"/>
                <w:color w:val="000000"/>
                <w:sz w:val="20"/>
              </w:rPr>
              <w:t>
Еңбек қатынастарын жетілдіру мәселелерінде мемлекеттің негізгі әріптестерінің бірі кәсіподақтар болып табылады. Сонымен бірге, аса ірі кәсіподақ орталығы - Қазақстанның кәсіподақтар федерациясы (бұдан әрі - ҚКФ) қызметінің қазіргі форматы уақыт талаптарына сай келмейді. Ұжымдық шарттар, оларды орындау үшін тараптардың жауапкершілігі туралы ережелер айқын баяндалмаған кәсіптік одақтар туралы тиімсіз заңнама едәуір проблемалы тұс болып табылады. Сондықтан қазір кәсіподақ қозғалысын, ең алдымен ҚКФ-ны жаңғырту бойынша шешуші қадам жасау талап етіледі.</w:t>
            </w:r>
            <w:r>
              <w:br/>
            </w:r>
            <w:r>
              <w:rPr>
                <w:rFonts w:ascii="Times New Roman"/>
                <w:b w:val="false"/>
                <w:i w:val="false"/>
                <w:color w:val="000000"/>
                <w:sz w:val="20"/>
              </w:rPr>
              <w:t>
2. Еңбек қатынастары саласындағы қайшылықтарды реттеудің тиімді көпдеңгейлі тетігін құру</w:t>
            </w:r>
            <w:r>
              <w:br/>
            </w:r>
            <w:r>
              <w:rPr>
                <w:rFonts w:ascii="Times New Roman"/>
                <w:b w:val="false"/>
                <w:i w:val="false"/>
                <w:color w:val="000000"/>
                <w:sz w:val="20"/>
              </w:rPr>
              <w:t>
Еңбек қатынастары саласындағы дауларды реттеудің тиімді тетігін құру мақсатында даулар мен қақтығыстарды соттан тыс шешу жүйесін енгізу талап етіледі. Сонымен қатар еңбек қақтығыстарын тудыратын іс-әрекеттер үшін жауаптылықты бекіту мәселесін пысықтау қажет.</w:t>
            </w:r>
          </w:p>
          <w:p>
            <w:pPr>
              <w:spacing w:after="20"/>
              <w:ind w:left="20"/>
              <w:jc w:val="both"/>
            </w:pPr>
            <w:r>
              <w:rPr>
                <w:rFonts w:ascii="Times New Roman"/>
                <w:b/>
                <w:i w:val="false"/>
                <w:color w:val="000000"/>
                <w:sz w:val="20"/>
              </w:rPr>
              <w:t>Білім және ғылым мәселелері бойынша заңнаманы жетілдіру</w:t>
            </w:r>
            <w:r>
              <w:br/>
            </w:r>
            <w:r>
              <w:rPr>
                <w:rFonts w:ascii="Times New Roman"/>
                <w:b w:val="false"/>
                <w:i w:val="false"/>
                <w:color w:val="000000"/>
                <w:sz w:val="20"/>
              </w:rPr>
              <w:t>
Түлектердің білімін объективті түрде анықтауға іріктеу рәсімдерін бағдарлау мақсатында ұлттық бірыңғай тестілеу жүйесін реформалау мәселесін пысықтау қажет.</w:t>
            </w:r>
            <w:r>
              <w:br/>
            </w:r>
            <w:r>
              <w:rPr>
                <w:rFonts w:ascii="Times New Roman"/>
                <w:b w:val="false"/>
                <w:i w:val="false"/>
                <w:color w:val="000000"/>
                <w:sz w:val="20"/>
              </w:rPr>
              <w:t>
Бұдан басқа, </w:t>
            </w:r>
            <w:r>
              <w:rPr>
                <w:rFonts w:ascii="Times New Roman"/>
                <w:b w:val="false"/>
                <w:i w:val="false"/>
                <w:color w:val="000000"/>
                <w:sz w:val="20"/>
              </w:rPr>
              <w:t>«Болашақ»</w:t>
            </w:r>
            <w:r>
              <w:rPr>
                <w:rFonts w:ascii="Times New Roman"/>
                <w:b w:val="false"/>
                <w:i w:val="false"/>
                <w:color w:val="000000"/>
                <w:sz w:val="20"/>
              </w:rPr>
              <w:t xml:space="preserve"> халықаралық стипендиясын іске асыру тетіктерін жетілдіру мәселелерін пысықтаған жөн.</w:t>
            </w:r>
            <w:r>
              <w:br/>
            </w:r>
            <w:r>
              <w:rPr>
                <w:rFonts w:ascii="Times New Roman"/>
                <w:b w:val="false"/>
                <w:i w:val="false"/>
                <w:color w:val="000000"/>
                <w:sz w:val="20"/>
              </w:rPr>
              <w:t>
Ғылымды қаржыландыру рәсімдерін одан әрі жетілдіру мақсатында жеке және шетелдік компаниялардың зерттеулеріне қатысу мүмкіндіктерін кеңейту, «дәлелдеу саясаты», бәсекелестік, ашықтық, кәсіптік қоғамдастықтарды дамыту қағидаттарында кәсіптік зерттеу нарығын дамыту қажет.</w:t>
            </w:r>
          </w:p>
          <w:p>
            <w:pPr>
              <w:spacing w:after="20"/>
              <w:ind w:left="20"/>
              <w:jc w:val="both"/>
            </w:pPr>
            <w:r>
              <w:rPr>
                <w:rFonts w:ascii="Times New Roman"/>
                <w:b/>
                <w:i w:val="false"/>
                <w:color w:val="000000"/>
                <w:sz w:val="20"/>
              </w:rPr>
              <w:t>Тұрғын үй қатынастары саласындағы заңнаманы жетілдіру</w:t>
            </w:r>
            <w:r>
              <w:br/>
            </w:r>
            <w:r>
              <w:rPr>
                <w:rFonts w:ascii="Times New Roman"/>
                <w:b w:val="false"/>
                <w:i w:val="false"/>
                <w:color w:val="000000"/>
                <w:sz w:val="20"/>
              </w:rPr>
              <w:t>
Үй-жайлардың меншік иелері мен басқару органдарының өзара жауапкершілік пен құқықтарды қамтамасыз ететін тұрғын үй заңнамасы нормаларын одан әрі жетілдіру қажет.</w:t>
            </w:r>
            <w:r>
              <w:br/>
            </w:r>
            <w:r>
              <w:rPr>
                <w:rFonts w:ascii="Times New Roman"/>
                <w:b w:val="false"/>
                <w:i w:val="false"/>
                <w:color w:val="000000"/>
                <w:sz w:val="20"/>
              </w:rPr>
              <w:t>
Бұдан басқа, (салымдарды сақтандыру арқылы үлескерлердің қаражатын қорғаудың қосымша тетігін енгізу бөлігінде) тұрғын үй құрылысына үлестік қатысу мәселелері бойынша заңнаманы жетілдіру талап етіледі.</w:t>
            </w:r>
          </w:p>
          <w:p>
            <w:pPr>
              <w:spacing w:after="20"/>
              <w:ind w:left="20"/>
              <w:jc w:val="both"/>
            </w:pPr>
            <w:r>
              <w:rPr>
                <w:rFonts w:ascii="Times New Roman"/>
                <w:b/>
                <w:i w:val="false"/>
                <w:color w:val="000000"/>
                <w:sz w:val="20"/>
              </w:rPr>
              <w:t>Медиация мәселелері жөніндегі заңнаманы жетілдіру</w:t>
            </w:r>
            <w:r>
              <w:br/>
            </w:r>
            <w:r>
              <w:rPr>
                <w:rFonts w:ascii="Times New Roman"/>
                <w:b w:val="false"/>
                <w:i w:val="false"/>
                <w:color w:val="000000"/>
                <w:sz w:val="20"/>
              </w:rPr>
              <w:t>
Кәсіпкерлік субъектілері арасындағы дауларға мемлекеттің араласуын барынша азайту, мемлекеттік соттарға түсетін жүктемені азайту мақсатында медиация институтын (елеусіз мәселелер бойынша дауларды соттан тыс реттеу институттарына беру бөлігінде) одан әрі заңнамалық жетілдіру қажет.</w:t>
            </w:r>
          </w:p>
          <w:p>
            <w:pPr>
              <w:spacing w:after="20"/>
              <w:ind w:left="20"/>
              <w:jc w:val="both"/>
            </w:pPr>
            <w:r>
              <w:rPr>
                <w:rFonts w:ascii="Times New Roman"/>
                <w:b/>
                <w:i w:val="false"/>
                <w:color w:val="000000"/>
                <w:sz w:val="20"/>
              </w:rPr>
              <w:t>Атқарушылық іс жүргізу саласын жетілдіру</w:t>
            </w:r>
            <w:r>
              <w:br/>
            </w:r>
            <w:r>
              <w:rPr>
                <w:rFonts w:ascii="Times New Roman"/>
                <w:b w:val="false"/>
                <w:i w:val="false"/>
                <w:color w:val="000000"/>
                <w:sz w:val="20"/>
              </w:rPr>
              <w:t>
Қазіргі кезде сот актілерінің орындалмауы аса ауыр емес қылмыстар санатына жататындығы атқарушылық іс жүргізу саласындағы дағдарыстың басты себептерінің бірі болып табылады. Осыған байланысты оны ауыр қылмыстар санатына ауыстыра отырып, сот актілерін орындамағаны үшін жауаптылығын қатаңдату қажет.</w:t>
            </w:r>
            <w:r>
              <w:br/>
            </w:r>
            <w:r>
              <w:rPr>
                <w:rFonts w:ascii="Times New Roman"/>
                <w:b w:val="false"/>
                <w:i w:val="false"/>
                <w:color w:val="000000"/>
                <w:sz w:val="20"/>
              </w:rPr>
              <w:t>
Бұдан басқа, ерікті орындау институтын жою, борышкерлер үшін сот актілерін уақтылы орындамағаны үшін өсімпұлды белгілеу, жеке сот орындаушыларының қызметіне ақы төлеудің сараланған мөлшерлемесін енгізу мәселелерін пысықтау талап етіледі.</w:t>
            </w:r>
          </w:p>
          <w:p>
            <w:pPr>
              <w:spacing w:after="20"/>
              <w:ind w:left="20"/>
              <w:jc w:val="both"/>
            </w:pPr>
            <w:r>
              <w:rPr>
                <w:rFonts w:ascii="Times New Roman"/>
                <w:b/>
                <w:i w:val="false"/>
                <w:color w:val="000000"/>
                <w:sz w:val="20"/>
              </w:rPr>
              <w:t>Сыбайлас жемқорлыққа қарсы іс-қимыл мәселелері бойынша заңнаманы жетілдіру</w:t>
            </w:r>
            <w:r>
              <w:br/>
            </w:r>
            <w:r>
              <w:rPr>
                <w:rFonts w:ascii="Times New Roman"/>
                <w:b w:val="false"/>
                <w:i w:val="false"/>
                <w:color w:val="000000"/>
                <w:sz w:val="20"/>
              </w:rPr>
              <w:t>
Сыбайлас жемқорлыққа қарсы күрестің тиімді тетіктерін енгізу, оның ішінде сыбайлас жемқорлық қылмыстар мен құқық бұзушылықтар жасағаны үшін қылмыстық және әкімшілік жауаптылықты қатаңдату арқылы сыбайлас жемқорлыққа қарсы шаралардың құқықтық негіздерін жаңғырту қажет.</w:t>
            </w:r>
          </w:p>
          <w:p>
            <w:pPr>
              <w:spacing w:after="20"/>
              <w:ind w:left="20"/>
              <w:jc w:val="both"/>
            </w:pPr>
            <w:r>
              <w:rPr>
                <w:rFonts w:ascii="Times New Roman"/>
                <w:b/>
                <w:i w:val="false"/>
                <w:color w:val="000000"/>
                <w:sz w:val="20"/>
              </w:rPr>
              <w:t>Сот жүйесін жаңғырту</w:t>
            </w:r>
            <w:r>
              <w:br/>
            </w:r>
            <w:r>
              <w:rPr>
                <w:rFonts w:ascii="Times New Roman"/>
                <w:b w:val="false"/>
                <w:i w:val="false"/>
                <w:color w:val="000000"/>
                <w:sz w:val="20"/>
              </w:rPr>
              <w:t>
Сот төрелігін жүзеге асыру жүйесін одан әрі заңнамалық жетілдіру мен оңайлату, оның ішінде оны төрешілдік рәсімдерді азайтуға, ақпараттық-құқықтық технологияларды анағұрлым кең пайдалануға қарай бағдарлау талап етіледі.</w:t>
            </w:r>
          </w:p>
          <w:p>
            <w:pPr>
              <w:spacing w:after="20"/>
              <w:ind w:left="20"/>
              <w:jc w:val="both"/>
            </w:pPr>
            <w:r>
              <w:rPr>
                <w:rFonts w:ascii="Times New Roman"/>
                <w:b/>
                <w:i w:val="false"/>
                <w:color w:val="000000"/>
                <w:sz w:val="20"/>
              </w:rPr>
              <w:t>Азаматтық және шаруашылық заңнаманы жетілдіру</w:t>
            </w:r>
            <w:r>
              <w:rPr>
                <w:rFonts w:ascii="Times New Roman"/>
                <w:b w:val="false"/>
                <w:i w:val="false"/>
                <w:color w:val="000000"/>
                <w:sz w:val="20"/>
              </w:rPr>
              <w:t>Меншік құқығын, оның ішінде адал меншік иелерін қорғау, шарттың міндеттемелерді қорғауға кепілдік беру және оларды бұзғаны үшін жауаптылықты қатаңдату мәселелерін жетілдіруді талап етеді.</w:t>
            </w:r>
          </w:p>
          <w:p>
            <w:pPr>
              <w:spacing w:after="20"/>
              <w:ind w:left="20"/>
              <w:jc w:val="both"/>
            </w:pPr>
            <w:r>
              <w:rPr>
                <w:rFonts w:ascii="Times New Roman"/>
                <w:b/>
                <w:i w:val="false"/>
                <w:color w:val="000000"/>
                <w:sz w:val="20"/>
              </w:rPr>
              <w:t>Қылмыстық заңнаманы жетілдіру</w:t>
            </w:r>
            <w:r>
              <w:br/>
            </w:r>
            <w:r>
              <w:rPr>
                <w:rFonts w:ascii="Times New Roman"/>
                <w:b w:val="false"/>
                <w:i w:val="false"/>
                <w:color w:val="000000"/>
                <w:sz w:val="20"/>
              </w:rPr>
              <w:t>
Қылмыстық заңнаманы қазіргі жағдайларға бейімдеу, қылмысқа қарсы күресте оның мүмкіндіктерін күшейту, азаматтар құқықтарының, мемлекет мүдделерінің қорғалу деңгейін жоғарылату маңызды мәселе болып табылады.</w:t>
            </w:r>
            <w:r>
              <w:br/>
            </w:r>
            <w:r>
              <w:rPr>
                <w:rFonts w:ascii="Times New Roman"/>
                <w:b w:val="false"/>
                <w:i w:val="false"/>
                <w:color w:val="000000"/>
                <w:sz w:val="20"/>
              </w:rPr>
              <w:t>
Отандық және шетелдік тәжірибені ескеруді, ұлттық мүдделер тұрғысынан қылмыстық заңның елдің халықаралық міндеттемелеріне сәйкестігін қамтамасыз етуді жалғастыру қажет.</w:t>
            </w:r>
            <w:r>
              <w:br/>
            </w:r>
            <w:r>
              <w:rPr>
                <w:rFonts w:ascii="Times New Roman"/>
                <w:b w:val="false"/>
                <w:i w:val="false"/>
                <w:color w:val="000000"/>
                <w:sz w:val="20"/>
              </w:rPr>
              <w:t>
Қылмыстық заңнаманы одан әрі жетілдіру өзін дәлелдеген құқықтық институттардың қажетті сабақтастығын қамтамасыз етумен және оларды сақтаумен байланысты болуға тиіс.</w:t>
            </w:r>
          </w:p>
          <w:p>
            <w:pPr>
              <w:spacing w:after="20"/>
              <w:ind w:left="20"/>
              <w:jc w:val="both"/>
            </w:pPr>
            <w:r>
              <w:rPr>
                <w:rFonts w:ascii="Times New Roman"/>
                <w:b/>
                <w:i w:val="false"/>
                <w:color w:val="000000"/>
                <w:sz w:val="20"/>
              </w:rPr>
              <w:t>Қылмыстық іс жүргізу заңнамасын жетілдіру</w:t>
            </w:r>
            <w:r>
              <w:rPr>
                <w:rFonts w:ascii="Times New Roman"/>
                <w:b w:val="false"/>
                <w:i w:val="false"/>
                <w:color w:val="000000"/>
                <w:sz w:val="20"/>
              </w:rPr>
              <w:t>Қылмыстық сот ісін жүргізудің оңтайлы моделі болмайынша, мемлекеттің қылмыстық саясатының тиімді болуы мүмкін емес және оның басты мақсаты тікелей қолданылатын, заңдардың мәнін, мазмұны мен қолданысын айқындайтын жеке адамның құқықтары мен бостандықтары туралы конституциялық нормалардың танылуына негізделген қылмыстық іс жүргізу заңын қалыптастыру болып табылады. Сондықтан қылмыстық іс жүргізу құқығын дамытудағы басымдық адамның құқықтары мен бостандықтарын сөзсіз қорғауға бағытталған қылмыстық сот ісін жүргізудің негізін қалаушы қағидаттарын одан әрі іске асыру болып қала беруі тиіс.</w:t>
            </w:r>
            <w:r>
              <w:br/>
            </w:r>
            <w:r>
              <w:rPr>
                <w:rFonts w:ascii="Times New Roman"/>
                <w:b w:val="false"/>
                <w:i w:val="false"/>
                <w:color w:val="000000"/>
                <w:sz w:val="20"/>
              </w:rPr>
              <w:t>
Қылмыстарды жылдам ашу, оларды жасаған адамдарды қылмыстық жауаптылыққа тарту және әділ сот талқылауын жүргізу мақсатында қылмыстық іс жүргізу заңнамасын тиімді түрде қолдануды көздейтін оңтайлы құқықтық тетіктерді әзірлеу қажет.</w:t>
            </w:r>
            <w:r>
              <w:br/>
            </w:r>
            <w:r>
              <w:rPr>
                <w:rFonts w:ascii="Times New Roman"/>
                <w:b w:val="false"/>
                <w:i w:val="false"/>
                <w:color w:val="000000"/>
                <w:sz w:val="20"/>
              </w:rPr>
              <w:t>
Қылмыстық іс жүргізу құқығын жаңғыртып, қылмыстық процесті жеңілдету және тиімділігін арттыру қажет.</w:t>
            </w:r>
          </w:p>
          <w:p>
            <w:pPr>
              <w:spacing w:after="20"/>
              <w:ind w:left="20"/>
              <w:jc w:val="both"/>
            </w:pPr>
            <w:r>
              <w:rPr>
                <w:rFonts w:ascii="Times New Roman"/>
                <w:b/>
                <w:i w:val="false"/>
                <w:color w:val="000000"/>
                <w:sz w:val="20"/>
              </w:rPr>
              <w:t>Қылмыстық атқару заңнамасын жетілдіру</w:t>
            </w:r>
            <w:r>
              <w:br/>
            </w:r>
            <w:r>
              <w:rPr>
                <w:rFonts w:ascii="Times New Roman"/>
                <w:b w:val="false"/>
                <w:i w:val="false"/>
                <w:color w:val="000000"/>
                <w:sz w:val="20"/>
              </w:rPr>
              <w:t>
Қылмыстық саясатты жетілдірудің қылмыстық, қылмыстық іс жүргізу және қылмыстық атқару құқығын кешенді, өзара байланыста түзету арқылы жүргізілетінін ескере отырып, қылмыстық атқару заңнамасының негізгі мақсаттарының бірі оны қылмыстық заңнамаға сәйкес келтіру болып табылады.</w:t>
            </w:r>
            <w:r>
              <w:br/>
            </w:r>
            <w:r>
              <w:rPr>
                <w:rFonts w:ascii="Times New Roman"/>
                <w:b w:val="false"/>
                <w:i w:val="false"/>
                <w:color w:val="000000"/>
                <w:sz w:val="20"/>
              </w:rPr>
              <w:t>
Қылмыстық атқару заңнамасы қылмыстық-құқықтық ықпал етудің жазаламайтын - балама шараларын кеңінен пайдалануға, қылмыстық атқару жүйелерін дамытудың жаңа тетіктерін белгілеуге негізделген болуы тиіс (атап айтқанда, бас бостандығынан айыруға сотталған адамдарды ұстау орындарын жақсарту).</w:t>
            </w:r>
          </w:p>
          <w:p>
            <w:pPr>
              <w:spacing w:after="20"/>
              <w:ind w:left="20"/>
              <w:jc w:val="both"/>
            </w:pPr>
            <w:r>
              <w:rPr>
                <w:rFonts w:ascii="Times New Roman"/>
                <w:b/>
                <w:i w:val="false"/>
                <w:color w:val="000000"/>
                <w:sz w:val="20"/>
              </w:rPr>
              <w:t>Әкімшілік құқық бұзушылық туралы заңнаманы жетілдіру</w:t>
            </w:r>
            <w:r>
              <w:br/>
            </w:r>
            <w:r>
              <w:rPr>
                <w:rFonts w:ascii="Times New Roman"/>
                <w:b w:val="false"/>
                <w:i w:val="false"/>
                <w:color w:val="000000"/>
                <w:sz w:val="20"/>
              </w:rPr>
              <w:t>
Әкімшілік-деликтілік заңнамасын одан әрі жетілдіру үшін әкімшілік жауаптылықтың негіздерін, оның ішінде әкімшілік және тәртіптік жауаптылықты қолдану саласын бөлуді көздейтін заңнамалық айқындауды жалғастыру қажет.</w:t>
            </w:r>
            <w:r>
              <w:br/>
            </w:r>
            <w:r>
              <w:rPr>
                <w:rFonts w:ascii="Times New Roman"/>
                <w:b w:val="false"/>
                <w:i w:val="false"/>
                <w:color w:val="000000"/>
                <w:sz w:val="20"/>
              </w:rPr>
              <w:t>
Бұдан басқа, әкімшілік-құқықтық санкциялардың құқық бұзушылықтың қоғамдық қауіптілігі деңгейіне шамалас болуы, сондай-ақ әкімшілік жазалау шараларының ауырлық дәрежесі бойынша қылмыстық-құқықтық санкциялармен арақатынасының теңгерімділігі мәселелерін жетілдіру қажет.</w:t>
            </w:r>
            <w:r>
              <w:br/>
            </w:r>
            <w:r>
              <w:rPr>
                <w:rFonts w:ascii="Times New Roman"/>
                <w:b w:val="false"/>
                <w:i w:val="false"/>
                <w:color w:val="000000"/>
                <w:sz w:val="20"/>
              </w:rPr>
              <w:t>
Айыппұлдарды өндіріп алудың тиімділігін арттыру мақсатында баптың санкциясында көрсетілген әкімшілік өндіріп алудың түріне, адамның жасалған құқық бұзушылық фактісімен келісуіне байланысты әкімшілік жауаптылыққа тартудың сараланған рәсімдерін енгізу қажет.</w:t>
            </w:r>
            <w:r>
              <w:br/>
            </w:r>
            <w:r>
              <w:rPr>
                <w:rFonts w:ascii="Times New Roman"/>
                <w:b w:val="false"/>
                <w:i w:val="false"/>
                <w:color w:val="000000"/>
                <w:sz w:val="20"/>
              </w:rPr>
              <w:t>
Бұдан басқа, әкімшілік құқық бұзушылық туралы заңнаманың шеңберінде әкімшілік құқық бұзушылық туралы істерді қарауға уәкілетті органдардың (лауазымды адамдардың) қаулыларына дау айту туралы істер бойынша іс жүргізу мәселелерін реттеу қажет.</w:t>
            </w:r>
            <w:r>
              <w:br/>
            </w:r>
            <w:r>
              <w:rPr>
                <w:rFonts w:ascii="Times New Roman"/>
                <w:b w:val="false"/>
                <w:i w:val="false"/>
                <w:color w:val="000000"/>
                <w:sz w:val="20"/>
              </w:rPr>
              <w:t>
Қазіргі уақытта жаңадан ашылған мән-жайлар жөнінде әкімшілік құқық бұзушылық туралы істер бойынша заңды күшіне енген қаулыларды қайта қарау институтын енгізудің объективті қажеттілігі туындап отыр.</w:t>
            </w:r>
          </w:p>
          <w:p>
            <w:pPr>
              <w:spacing w:after="20"/>
              <w:ind w:left="20"/>
              <w:jc w:val="both"/>
            </w:pPr>
            <w:r>
              <w:rPr>
                <w:rFonts w:ascii="Times New Roman"/>
                <w:b/>
                <w:i w:val="false"/>
                <w:color w:val="000000"/>
                <w:sz w:val="20"/>
              </w:rPr>
              <w:t>Кәсіпкерлікті мемлекеттік реттеуді жаңғырту</w:t>
            </w:r>
            <w:r>
              <w:br/>
            </w:r>
            <w:r>
              <w:rPr>
                <w:rFonts w:ascii="Times New Roman"/>
                <w:b w:val="false"/>
                <w:i w:val="false"/>
                <w:color w:val="000000"/>
                <w:sz w:val="20"/>
              </w:rPr>
              <w:t>
1. Қазіргі уақытта кәсіпкерлік қызмет туралы заңнама түрлі салаға тиесілі нормативтік құқықтық актілердің кең ауқымын қамтиды. Бұл ретте оның одан әрі өсуін шектеудің заңнамалық шектері мен кепілдіктері жоқ; кәсіпкерліктің әрбір жаңа саласын немесе түрін «өз» заңымен қанағаттандыру мүмкін емес, Заңдар нысанасының ұсақталу, бөлшектену процесі байқалып отыр.</w:t>
            </w:r>
            <w:r>
              <w:br/>
            </w:r>
            <w:r>
              <w:rPr>
                <w:rFonts w:ascii="Times New Roman"/>
                <w:b w:val="false"/>
                <w:i w:val="false"/>
                <w:color w:val="000000"/>
                <w:sz w:val="20"/>
              </w:rPr>
              <w:t>
Өзінің барынша өзектілігі тұрғысынан осы кең ауқымды жүйелеу міндеті туындап отыр, оның нәтижесі Кәсіпкерлік кодексті қабылдау болуы тиіс.</w:t>
            </w:r>
            <w:r>
              <w:br/>
            </w:r>
            <w:r>
              <w:rPr>
                <w:rFonts w:ascii="Times New Roman"/>
                <w:b w:val="false"/>
                <w:i w:val="false"/>
                <w:color w:val="000000"/>
                <w:sz w:val="20"/>
              </w:rPr>
              <w:t>
Бұдан басқа, кәсіпкерлікті құқықтық реттеудегі олқылықтарды, қайшылықтар мен қайталауды жою, сондай-ақ кәсіпкерлік қызметті мемлекеттік реттеу тетіктерін оңтайландыру қажет.</w:t>
            </w:r>
            <w:r>
              <w:br/>
            </w:r>
            <w:r>
              <w:rPr>
                <w:rFonts w:ascii="Times New Roman"/>
                <w:b w:val="false"/>
                <w:i w:val="false"/>
                <w:color w:val="000000"/>
                <w:sz w:val="20"/>
              </w:rPr>
              <w:t>
2. Бизнес үшін әкімшілік кедергілерді азайту жөніндегі жұмыс жалғасып, тиісті нормативтік құқықтық база жақсартылуы тиіс.</w:t>
            </w:r>
          </w:p>
          <w:p>
            <w:pPr>
              <w:spacing w:after="20"/>
              <w:ind w:left="20"/>
              <w:jc w:val="both"/>
            </w:pPr>
            <w:r>
              <w:rPr>
                <w:rFonts w:ascii="Times New Roman"/>
                <w:b/>
                <w:i w:val="false"/>
                <w:color w:val="000000"/>
                <w:sz w:val="20"/>
              </w:rPr>
              <w:t>Қаржылық бақылау жүйесін реформалау</w:t>
            </w:r>
            <w:r>
              <w:br/>
            </w:r>
            <w:r>
              <w:rPr>
                <w:rFonts w:ascii="Times New Roman"/>
                <w:b w:val="false"/>
                <w:i w:val="false"/>
                <w:color w:val="000000"/>
                <w:sz w:val="20"/>
              </w:rPr>
              <w:t>
Халықаралық стандарттарға сәйкес қаржылық бақылау жүйесін реформалау мақсатында мемлекеттік сектордағы басқарудың ажырамас құрауышы ретінде мемлекеттік қаржылық бақылау жүйесінің мемлекеттік аудит жүйесіне өтуін, құқықтық негізі мен институционалдық құрылымын әзірлеуді, сондай-ақ мемлекеттік сектордағы аудиторларға арналған кәсіби практиканың халықаралық негізінде мемлекеттік аудит жүйесін нығайту мақсатында кадрлық әлеуетті өсіруді қамтамасыз ету қажет.</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жылғы бірінші жартыжылдық</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сауда саласындағы заңнаманы жетілдіру</w:t>
            </w:r>
            <w:r>
              <w:br/>
            </w:r>
            <w:r>
              <w:rPr>
                <w:rFonts w:ascii="Times New Roman"/>
                <w:b w:val="false"/>
                <w:i w:val="false"/>
                <w:color w:val="000000"/>
                <w:sz w:val="20"/>
              </w:rPr>
              <w:t>
Электрондық сауданы пайдаланудың электрондық жүйелерге балама қағаз құжаттамаға негізделген дәстүрлі сауданың орнын баса отырып, сауда саясатын түбегейлі өзгертуде. Сауда жүйесінде электрондық сауда сияқты инновацияның пайда болуы, бірінші кезекте сауда операциялары қатысушыларының қажеттіліктеріне байланысты және басым бағыт ретінде еліміздің экономикалық инфрақұрылымының құрамдас бөлігі болып отыр.</w:t>
            </w:r>
            <w:r>
              <w:br/>
            </w:r>
            <w:r>
              <w:rPr>
                <w:rFonts w:ascii="Times New Roman"/>
                <w:b w:val="false"/>
                <w:i w:val="false"/>
                <w:color w:val="000000"/>
                <w:sz w:val="20"/>
              </w:rPr>
              <w:t>
Осыған байланысты электрондық сауданы жүзеге асыру кезінде туындайтын қатынастарды регламенттеу және оған қатысушылардың құқықтарын заңнамалық бекіту қажеттігі туындайды, бұл электрондық сауданың орнықты дамуын қамтамасыз етуге мүмкіндік береді.</w:t>
            </w:r>
          </w:p>
          <w:p>
            <w:pPr>
              <w:spacing w:after="20"/>
              <w:ind w:left="20"/>
              <w:jc w:val="both"/>
            </w:pPr>
            <w:r>
              <w:rPr>
                <w:rFonts w:ascii="Times New Roman"/>
                <w:b/>
                <w:i w:val="false"/>
                <w:color w:val="000000"/>
                <w:sz w:val="20"/>
              </w:rPr>
              <w:t>Бағалау қызметін жетілдіру</w:t>
            </w:r>
            <w:r>
              <w:br/>
            </w:r>
            <w:r>
              <w:rPr>
                <w:rFonts w:ascii="Times New Roman"/>
                <w:b w:val="false"/>
                <w:i w:val="false"/>
                <w:color w:val="000000"/>
                <w:sz w:val="20"/>
              </w:rPr>
              <w:t>
Бағалау қызметі нарықтық экономиканың маңызды құралы болып табылады, оны құқықтық реттеу де ұдайы назар аударуды және жетілдіруді талап етеді. Осыған байланысты бағалаудың мемлекеттік стандарттарын белгілеуге, бағалау қызметін халықаралық талаптарға сәйкес келтіруге, бағалау қызметін реттеудің және өзін-өзі реттеудің мемлекеттік жүйесін жетілдіруге бағытталған шаралар кешені қажет.</w:t>
            </w:r>
            <w:r>
              <w:br/>
            </w:r>
            <w:r>
              <w:rPr>
                <w:rFonts w:ascii="Times New Roman"/>
                <w:b w:val="false"/>
                <w:i w:val="false"/>
                <w:color w:val="000000"/>
                <w:sz w:val="20"/>
              </w:rPr>
              <w:t>
Бұдан басқа, кәсіби бағалаушылардың жауапкершілігін қатаңдату мәселесі пысықтауды талап етеді.</w:t>
            </w:r>
          </w:p>
          <w:p>
            <w:pPr>
              <w:spacing w:after="20"/>
              <w:ind w:left="20"/>
              <w:jc w:val="both"/>
            </w:pPr>
            <w:r>
              <w:rPr>
                <w:rFonts w:ascii="Times New Roman"/>
                <w:b/>
                <w:i w:val="false"/>
                <w:color w:val="000000"/>
                <w:sz w:val="20"/>
              </w:rPr>
              <w:t>Қазақстан Республикасының халықаралық көмегі мәселелері</w:t>
            </w:r>
            <w:r>
              <w:br/>
            </w:r>
            <w:r>
              <w:rPr>
                <w:rFonts w:ascii="Times New Roman"/>
                <w:b w:val="false"/>
                <w:i w:val="false"/>
                <w:color w:val="000000"/>
                <w:sz w:val="20"/>
              </w:rPr>
              <w:t>
Заңнамалық деңгейде жаһандық сын-тегеуріндерге және өңірлік проблемаларға барабар жауаптарды іздестіру жүйесін құруға, дамуға ресми көмек пен гуманитарлық көмек беру саласындағы қызметті үйлестіруді арттыруға бағытталған шаралар кешенін қабылдау қажет.</w:t>
            </w:r>
          </w:p>
          <w:p>
            <w:pPr>
              <w:spacing w:after="20"/>
              <w:ind w:left="20"/>
              <w:jc w:val="both"/>
            </w:pPr>
            <w:r>
              <w:rPr>
                <w:rFonts w:ascii="Times New Roman"/>
                <w:b/>
                <w:i w:val="false"/>
                <w:color w:val="000000"/>
                <w:sz w:val="20"/>
              </w:rPr>
              <w:t>Сумен жабдықтау және су бұру мәселелері жөніндегі заңнаманы жетілдіру</w:t>
            </w:r>
            <w:r>
              <w:br/>
            </w:r>
            <w:r>
              <w:rPr>
                <w:rFonts w:ascii="Times New Roman"/>
                <w:b w:val="false"/>
                <w:i w:val="false"/>
                <w:color w:val="000000"/>
                <w:sz w:val="20"/>
              </w:rPr>
              <w:t>
Қалалар мен ауылдық елді мекендердегі тұтынушылардың сумен жабдықтау және су бұру қызметтеріне теңдей қолжетімділігін қамтамасыз ету, сумен жабдықтау және су бұру секторындағы құқықтық қатынастардың тиімді жүйесін құру, қоршаған ортаның экологиялық орнықтылығын және халықтың санитариялық-эпидемиологиялық қауіпсіздігін сақтау сияқты басымдықтарға қол жеткізуге бағытталған заңнамалық шараларды қабылдау қажет.</w:t>
            </w:r>
          </w:p>
          <w:p>
            <w:pPr>
              <w:spacing w:after="20"/>
              <w:ind w:left="20"/>
              <w:jc w:val="both"/>
            </w:pPr>
            <w:r>
              <w:rPr>
                <w:rFonts w:ascii="Times New Roman"/>
                <w:b/>
                <w:i w:val="false"/>
                <w:color w:val="000000"/>
                <w:sz w:val="20"/>
              </w:rPr>
              <w:t>Сауда қызметі саласындағы заңнаманы жетілдіру</w:t>
            </w:r>
            <w:r>
              <w:br/>
            </w:r>
            <w:r>
              <w:rPr>
                <w:rFonts w:ascii="Times New Roman"/>
                <w:b w:val="false"/>
                <w:i w:val="false"/>
                <w:color w:val="000000"/>
                <w:sz w:val="20"/>
              </w:rPr>
              <w:t>
Қазіргі уақытта ішкі сауданы реттеу мәселелерін жетілдіру, жаңа сауда объектілерінің атауларын ұғымдық аппаратқа енгізу және кейіннен сауда объектілерінің жіктеуішін әзірлеудің объективті қажеттілігі туындап отыр.</w:t>
            </w:r>
            <w:r>
              <w:br/>
            </w:r>
            <w:r>
              <w:rPr>
                <w:rFonts w:ascii="Times New Roman"/>
                <w:b w:val="false"/>
                <w:i w:val="false"/>
                <w:color w:val="000000"/>
                <w:sz w:val="20"/>
              </w:rPr>
              <w:t>
Бұдан басқа, сауда нарықтары иелерінің азаматтық-құқықтық жауапкершілігін міндетті сақтандыруды заңнамалық бекіту арқылы жазатайым оқиғалардан зардап шеккендерге кепілдік</w:t>
            </w:r>
            <w:r>
              <w:br/>
            </w:r>
            <w:r>
              <w:rPr>
                <w:rFonts w:ascii="Times New Roman"/>
                <w:b w:val="false"/>
                <w:i w:val="false"/>
                <w:color w:val="000000"/>
                <w:sz w:val="20"/>
              </w:rPr>
              <w:t>
берілген өтемақы төлеу не келтірілген зиянның орнын толтыру мәселелерін пысықтау керек. Кәсіпкерлік қызметтің осы нысанын сақтандыру басталған сақтандыру жағдайларын реттеуге және кәсіпкерлерді қаржылық шығындардан заңда белгіленген тәртіпте қорғауға мүмкіндік береді.</w:t>
            </w:r>
          </w:p>
          <w:p>
            <w:pPr>
              <w:spacing w:after="20"/>
              <w:ind w:left="20"/>
              <w:jc w:val="both"/>
            </w:pPr>
            <w:r>
              <w:rPr>
                <w:rFonts w:ascii="Times New Roman"/>
                <w:b/>
                <w:i w:val="false"/>
                <w:color w:val="000000"/>
                <w:sz w:val="20"/>
              </w:rPr>
              <w:t>Энергия үнемдеу және энергия тиімділігін арттыру мәселелері жөніндегі заңнаманы жетілдіру</w:t>
            </w:r>
            <w:r>
              <w:br/>
            </w:r>
            <w:r>
              <w:rPr>
                <w:rFonts w:ascii="Times New Roman"/>
                <w:b w:val="false"/>
                <w:i w:val="false"/>
                <w:color w:val="000000"/>
                <w:sz w:val="20"/>
              </w:rPr>
              <w:t>
Қазақстан Республикасының өнеркәсіптік секторындағы проблемалар кешенін шешу мақсатында алдын ала бағалаусыз жобаланатын энергия көздерінің жылу және электр энергиясын жеке-жеке өндіруге тыйым салуды енгізу, сондай-ақ газ-электр станцияларындағы бу қазандықтарында газды тікелей жағуға тыйым салуды енгізу мәселелерін пысықтау қажет.</w:t>
            </w:r>
          </w:p>
          <w:p>
            <w:pPr>
              <w:spacing w:after="20"/>
              <w:ind w:left="20"/>
              <w:jc w:val="both"/>
            </w:pPr>
            <w:r>
              <w:rPr>
                <w:rFonts w:ascii="Times New Roman"/>
                <w:b/>
                <w:i w:val="false"/>
                <w:color w:val="000000"/>
                <w:sz w:val="20"/>
              </w:rPr>
              <w:t>Құқықтық актілердің мәселелерін реттейтін заңнаманы жетілдіру</w:t>
            </w:r>
            <w:r>
              <w:br/>
            </w:r>
            <w:r>
              <w:rPr>
                <w:rFonts w:ascii="Times New Roman"/>
                <w:b w:val="false"/>
                <w:i w:val="false"/>
                <w:color w:val="000000"/>
                <w:sz w:val="20"/>
              </w:rPr>
              <w:t>
Қазіргі уақытта нормативтік құқықтық актілерге қатысты нормалар «Нормативтік құқықтық актілер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регламенттеледі.</w:t>
            </w:r>
            <w:r>
              <w:br/>
            </w:r>
            <w:r>
              <w:rPr>
                <w:rFonts w:ascii="Times New Roman"/>
                <w:b w:val="false"/>
                <w:i w:val="false"/>
                <w:color w:val="000000"/>
                <w:sz w:val="20"/>
              </w:rPr>
              <w:t>
Өз кезегінде, мемлекеттік органдардың құқықтық актілері мемлекеттік органның басқарушылық қызметін регламенттеудің бір бөлігі ғана болып табылады және «Әкімшілік рәсімдер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w:t>
            </w:r>
            <w:r>
              <w:rPr>
                <w:rFonts w:ascii="Times New Roman"/>
                <w:b w:val="false"/>
                <w:i w:val="false"/>
                <w:color w:val="000000"/>
                <w:sz w:val="20"/>
              </w:rPr>
              <w:t>көзделген. Осыған байланысты мемлекеттік органдардың барлық актілеріне қатысты нормаларды бір заңға біріктіру қажеттігі туындайды.</w:t>
            </w:r>
            <w:r>
              <w:br/>
            </w:r>
            <w:r>
              <w:rPr>
                <w:rFonts w:ascii="Times New Roman"/>
                <w:b w:val="false"/>
                <w:i w:val="false"/>
                <w:color w:val="000000"/>
                <w:sz w:val="20"/>
              </w:rPr>
              <w:t>
Бұдан басқа, заңнаманы жүйелеуге қатысты нормаларды жетілдіру қажет.</w:t>
            </w:r>
          </w:p>
          <w:p>
            <w:pPr>
              <w:spacing w:after="20"/>
              <w:ind w:left="20"/>
              <w:jc w:val="both"/>
            </w:pPr>
            <w:r>
              <w:rPr>
                <w:rFonts w:ascii="Times New Roman"/>
                <w:b/>
                <w:i w:val="false"/>
                <w:color w:val="000000"/>
                <w:sz w:val="20"/>
              </w:rPr>
              <w:t>«Жасыл экономикаға» көшу мәселелері бойынша заңнаманы жетілдіру</w:t>
            </w:r>
            <w:r>
              <w:br/>
            </w:r>
            <w:r>
              <w:rPr>
                <w:rFonts w:ascii="Times New Roman"/>
                <w:b w:val="false"/>
                <w:i w:val="false"/>
                <w:color w:val="000000"/>
                <w:sz w:val="20"/>
              </w:rPr>
              <w:t>
Дәстүрлі экономикалық үлгіге негізделген қолданыстағы экологиялық заңнама: энергетикалық, су, азық-түлік және шикізат ресурстарын тиімсіз пайдалану, шығындардың ұлғаюы, жаһандық қаржы тұрақсыздығына тәуелділік және т.б. сияқты қазіргі заманғы тәуекелдерді толық көлемде ескермейді.</w:t>
            </w:r>
            <w:r>
              <w:br/>
            </w:r>
            <w:r>
              <w:rPr>
                <w:rFonts w:ascii="Times New Roman"/>
                <w:b w:val="false"/>
                <w:i w:val="false"/>
                <w:color w:val="000000"/>
                <w:sz w:val="20"/>
              </w:rPr>
              <w:t>
Қазіргі уақытта экологиялық заңнама саласындағы мемлекеттік саясаттың мақсаты «жасыл экономикаға» көшу үшін жағдай жасау, энергия мен су үнемдеуді ынталандыру, «жасыл технологияларды» пайдалану және экологиялық туризмді дамыту, қоршаған ортаға антропогендік әсер ету нәтижесінде туындайтын қауіп-қатерден қоғам мүдделері мен жеке тұлға</w:t>
            </w:r>
            <w:r>
              <w:br/>
            </w:r>
            <w:r>
              <w:rPr>
                <w:rFonts w:ascii="Times New Roman"/>
                <w:b w:val="false"/>
                <w:i w:val="false"/>
                <w:color w:val="000000"/>
                <w:sz w:val="20"/>
              </w:rPr>
              <w:t>
құқықтарының қорғалуын қамтамасыз ету, табиғатты ұтымды пайдалану, экологиялық таза өндірістерді дамыту және азаматтардың экологиялық қауіпсіз іс-әрекетін қамтамасыз ету болып табылады.</w:t>
            </w:r>
            <w:r>
              <w:br/>
            </w:r>
            <w:r>
              <w:rPr>
                <w:rFonts w:ascii="Times New Roman"/>
                <w:b w:val="false"/>
                <w:i w:val="false"/>
                <w:color w:val="000000"/>
                <w:sz w:val="20"/>
              </w:rPr>
              <w:t>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2014 - 2015 жылдар (4-сессия)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Әлеуметтік, шаруашылық, азаматтық заңнама, сондай-ақ сақтандыру, атом энергиясы және қорғаныс саласындағы заңнама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жылғы екінші жартыжылдық</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саладағы заңнаманы жетілдіру</w:t>
            </w:r>
            <w:r>
              <w:br/>
            </w:r>
            <w:r>
              <w:rPr>
                <w:rFonts w:ascii="Times New Roman"/>
                <w:b w:val="false"/>
                <w:i w:val="false"/>
                <w:color w:val="000000"/>
                <w:sz w:val="20"/>
              </w:rPr>
              <w:t>
</w:t>
            </w:r>
            <w:r>
              <w:rPr>
                <w:rFonts w:ascii="Times New Roman"/>
                <w:b/>
                <w:i w:val="false"/>
                <w:color w:val="000000"/>
                <w:sz w:val="20"/>
              </w:rPr>
              <w:t>1. Мүгедектерді мемлекеттік қолдау</w:t>
            </w:r>
            <w:r>
              <w:br/>
            </w:r>
            <w:r>
              <w:rPr>
                <w:rFonts w:ascii="Times New Roman"/>
                <w:b w:val="false"/>
                <w:i w:val="false"/>
                <w:color w:val="000000"/>
                <w:sz w:val="20"/>
              </w:rPr>
              <w:t>
Басқа азаматтармен қатар мүгедектерге азаматтық, саяси, әлеуметтік, экономикалық, мәдени және Қазақстан Республикасының </w:t>
            </w:r>
            <w:r>
              <w:rPr>
                <w:rFonts w:ascii="Times New Roman"/>
                <w:b w:val="false"/>
                <w:i w:val="false"/>
                <w:color w:val="000000"/>
                <w:sz w:val="20"/>
              </w:rPr>
              <w:t>Конституциясында</w:t>
            </w:r>
            <w:r>
              <w:rPr>
                <w:rFonts w:ascii="Times New Roman"/>
                <w:b w:val="false"/>
                <w:i w:val="false"/>
                <w:color w:val="000000"/>
                <w:sz w:val="20"/>
              </w:rPr>
              <w:t xml:space="preserve"> бекітілген басқа да құқықтары мен бостандықтарын іске асыру мүмкіндіктерін қамтамасыз ету, сондай-ақ Мүгедектердің құқықтары туралы конвенцияны іске асыруға бағытталған заңнамалық шараларды қабылдау маңызды мәселе болып табылады.</w:t>
            </w:r>
            <w:r>
              <w:br/>
            </w:r>
            <w:r>
              <w:rPr>
                <w:rFonts w:ascii="Times New Roman"/>
                <w:b w:val="false"/>
                <w:i w:val="false"/>
                <w:color w:val="000000"/>
                <w:sz w:val="20"/>
              </w:rPr>
              <w:t>
</w:t>
            </w:r>
            <w:r>
              <w:rPr>
                <w:rFonts w:ascii="Times New Roman"/>
                <w:b/>
                <w:i w:val="false"/>
                <w:color w:val="000000"/>
                <w:sz w:val="20"/>
              </w:rPr>
              <w:t>2. Халықтың орнықты нәтижелі жұмыспен қамтылуы</w:t>
            </w:r>
            <w:r>
              <w:br/>
            </w:r>
            <w:r>
              <w:rPr>
                <w:rFonts w:ascii="Times New Roman"/>
                <w:b w:val="false"/>
                <w:i w:val="false"/>
                <w:color w:val="000000"/>
                <w:sz w:val="20"/>
              </w:rPr>
              <w:t>
Еңбек нарығының теңгерімсіздігі, экономика салаларының мамандарға мұқтаждықтарының объективті болжамының болмауы, еңбек ресурстары сапасының төмендігімен және өндіріс пен оқытудағы шынайы байланыстың болмауымен байланысты жұмыс күшінің тапшылығы сияқты проблемаларды шешуге бағытталған заңнамалық деңгейде кешенді шараларды қабылдау қажет.</w:t>
            </w:r>
            <w:r>
              <w:br/>
            </w:r>
            <w:r>
              <w:rPr>
                <w:rFonts w:ascii="Times New Roman"/>
                <w:b w:val="false"/>
                <w:i w:val="false"/>
                <w:color w:val="000000"/>
                <w:sz w:val="20"/>
              </w:rPr>
              <w:t>
Сонымен қатар халықтың әлеуметтік осал санаттарына жататын азаматтарын әлеуметтендіру тетіктерін дамыту және осы санаттағы адамдардың еңбек етуін жүзеге асыру үшін жағдайлар жасау қажет.</w:t>
            </w:r>
          </w:p>
          <w:p>
            <w:pPr>
              <w:spacing w:after="20"/>
              <w:ind w:left="20"/>
              <w:jc w:val="both"/>
            </w:pPr>
            <w:r>
              <w:rPr>
                <w:rFonts w:ascii="Times New Roman"/>
                <w:b/>
                <w:i w:val="false"/>
                <w:color w:val="000000"/>
                <w:sz w:val="20"/>
              </w:rPr>
              <w:t>Өсімдік шаруашылығындағы міндетті сақтандыру мәселелері бойынша заңнаманы жетілдіру</w:t>
            </w:r>
            <w:r>
              <w:br/>
            </w:r>
            <w:r>
              <w:rPr>
                <w:rFonts w:ascii="Times New Roman"/>
                <w:b w:val="false"/>
                <w:i w:val="false"/>
                <w:color w:val="000000"/>
                <w:sz w:val="20"/>
              </w:rPr>
              <w:t>
Өсімдік шаруашылығындағы міндетті сақтандыру тетігінің проблемалық мәселелерін реттеу мақсаттарында сақтандыру компанияларына және өзара сақтандыру қоғамдарына бірыңғай талаптарды, өсімдік шаруашылығындағы сақтандырудың балама тетіктерін, және сақтандыру тарифтерін саралауды, Өтемақы төлемдерінің қорын құру мәселелерін (қайта сақтандыру жүйесін) регламенттеу қажет.</w:t>
            </w:r>
            <w:r>
              <w:br/>
            </w:r>
            <w:r>
              <w:rPr>
                <w:rFonts w:ascii="Times New Roman"/>
                <w:b w:val="false"/>
                <w:i w:val="false"/>
                <w:color w:val="000000"/>
                <w:sz w:val="20"/>
              </w:rPr>
              <w:t>
Бұдан басқа, өзара сақтандыру қоғамдарының қызметіне мемлекеттік бақылауды күшейту мәселелерін пысықтау керек.</w:t>
            </w:r>
          </w:p>
          <w:p>
            <w:pPr>
              <w:spacing w:after="20"/>
              <w:ind w:left="20"/>
              <w:jc w:val="both"/>
            </w:pPr>
            <w:r>
              <w:rPr>
                <w:rFonts w:ascii="Times New Roman"/>
                <w:b/>
                <w:i w:val="false"/>
                <w:color w:val="000000"/>
                <w:sz w:val="20"/>
              </w:rPr>
              <w:t>Атом энергиясын пайдалану саласындағы заңнаманы жетілдіру</w:t>
            </w:r>
            <w:r>
              <w:br/>
            </w:r>
            <w:r>
              <w:rPr>
                <w:rFonts w:ascii="Times New Roman"/>
                <w:b w:val="false"/>
                <w:i w:val="false"/>
                <w:color w:val="000000"/>
                <w:sz w:val="20"/>
              </w:rPr>
              <w:t>
Атом энергиясын пайдалану жөніндегі қызметті заңнамалық реттеу қажеттігі оның әлеуетті қаупінен, сондай-ақ бейбіт мақсатта ғана пайдаланылмауы мүмкін қосарлы мақсаттағы объектілер мен технологиялардың болуынан туындайды.</w:t>
            </w:r>
            <w:r>
              <w:br/>
            </w:r>
            <w:r>
              <w:rPr>
                <w:rFonts w:ascii="Times New Roman"/>
                <w:b w:val="false"/>
                <w:i w:val="false"/>
                <w:color w:val="000000"/>
                <w:sz w:val="20"/>
              </w:rPr>
              <w:t>
«Атом энергиясын пайдалану туралы» 1997 жылғы 14 сәуірдегі қолданыстағы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оны практикалық қолданудың 16 жылдан астам мерзімде жинақталған тәжірибесін, сондай-ақ Қазақстан Республикасы мүшесі болып табылатын Атом энергиясы жөніндегі халықаралық агенттіктің қазіргі заманға сай ұсынымдарын ескере отырып өзекті етуді қажет етеді.</w:t>
            </w:r>
          </w:p>
          <w:p>
            <w:pPr>
              <w:spacing w:after="20"/>
              <w:ind w:left="20"/>
              <w:jc w:val="both"/>
            </w:pPr>
            <w:r>
              <w:rPr>
                <w:rFonts w:ascii="Times New Roman"/>
                <w:b/>
                <w:i w:val="false"/>
                <w:color w:val="000000"/>
                <w:sz w:val="20"/>
              </w:rPr>
              <w:t>Қорғаныс және әскери қызмет мәселелері жөніндегі заңнаманы жетілдіру</w:t>
            </w:r>
            <w:r>
              <w:br/>
            </w:r>
            <w:r>
              <w:rPr>
                <w:rFonts w:ascii="Times New Roman"/>
                <w:b w:val="false"/>
                <w:i w:val="false"/>
                <w:color w:val="000000"/>
                <w:sz w:val="20"/>
              </w:rPr>
              <w:t>
«Әскери қызмет және әскери қызметшілердің мәртебесі туралы» 2012 жылғы 16 ақпандағы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қабылдануына байланысты азаматтардың әскери қызметті өткеру кезіндегі қарым-қатынастарын реттеуге бағытталған перспективадағы жұмыс, сондай-ақ әскери қызметшілерді әлеуметтік қамтамасыз етудің негіздерін айқындау талап етіледі.</w:t>
            </w:r>
            <w:r>
              <w:br/>
            </w:r>
            <w:r>
              <w:rPr>
                <w:rFonts w:ascii="Times New Roman"/>
                <w:b w:val="false"/>
                <w:i w:val="false"/>
                <w:color w:val="000000"/>
                <w:sz w:val="20"/>
              </w:rPr>
              <w:t>
Бұдан басқа, Каспий теңізінің қазақстандық секторындағы теңіз қызметін навигациялық-гидрографиялық қамтамасыз ету мәселелерін реттеуге, әскери, әскери-әуе және әскери-теңіз атташелері мәртебесін белгілеуге, мемлекеттік авиация саласында туындайтын құқықтық қатынастарды реттеуге, қорғаныс мұқтаждарына арналған мүлікті реквизициялау бойынша қолданыстағы нормаларды қайта қарауға бағытталған заңнамалық шараларды қабылдау қажеттігі туындайды.</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жылғы бірінші жартыжылдық</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Азаматтық және шаруашылық заңнаманы жетілдіру</w:t>
            </w:r>
            <w:r>
              <w:br/>
            </w:r>
            <w:r>
              <w:rPr>
                <w:rFonts w:ascii="Times New Roman"/>
                <w:b w:val="false"/>
                <w:i w:val="false"/>
                <w:color w:val="000000"/>
                <w:sz w:val="20"/>
              </w:rPr>
              <w:t>
Азаматтық құқықты дамытудың қазіргі кезеңінде қоғамдық қатынастарды реттеудің жария-құқықтық және жеке құқықтық әдістері ара қатынасының проблемалары және осыдан туындайтын жекеше кәсіпкерлік қызметке мемлекеттің араласуының шектері бірінші орынға қойылып отыр.</w:t>
            </w:r>
            <w:r>
              <w:br/>
            </w:r>
            <w:r>
              <w:rPr>
                <w:rFonts w:ascii="Times New Roman"/>
                <w:b w:val="false"/>
                <w:i w:val="false"/>
                <w:color w:val="000000"/>
                <w:sz w:val="20"/>
              </w:rPr>
              <w:t>
Осыған байланысты, акционерлік қоғамдардың құқықтық табиғатын ескере отырып, оның ішінде «жария корпорациялар» деп аталатын тұрғыдағы олардың мәртебесін айқындау, мемлекеттің шаруашылық-құқықтық қатынастарға қатысуы және жария функцияларды жүзеге асыруы саласындағы мемлекеттің иммунитетін сақтай отырып, жеке құқықтық қатынастар саласындағы иммунитеттен бас тартуы бөлігінде осы саладағы заңнаманы жетілдіруді жалғастыру қажет.</w:t>
            </w:r>
            <w:r>
              <w:br/>
            </w:r>
            <w:r>
              <w:rPr>
                <w:rFonts w:ascii="Times New Roman"/>
                <w:b w:val="false"/>
                <w:i w:val="false"/>
                <w:color w:val="000000"/>
                <w:sz w:val="20"/>
              </w:rPr>
              <w:t>
Бұдан басқа, мәмілелерге, заттық құқықтар түрлерін және олардың туындау негіздерін кеңейтуге қатысты нормаларды нақтылау, «құқықтан бас тарту» және «құқықты жүзеге асырудан бас тарту» ұғымдарын айқындау нақты залалдарды айқындау тәртібін белгілеу мәселелерін пысықтау қажет.</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2015 - 2016 жылдар (5-сессия)</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сыбайлас жемқорлыққа қарсы заңнама, сондай-ақ дактилоскопиялық және геномдық тіркеу саласындағы заңнама</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жылғы екінші жартыжылдық</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саладағы заңнаманы жетілдіру</w:t>
            </w:r>
            <w:r>
              <w:br/>
            </w:r>
            <w:r>
              <w:rPr>
                <w:rFonts w:ascii="Times New Roman"/>
                <w:b w:val="false"/>
                <w:i w:val="false"/>
                <w:color w:val="000000"/>
                <w:sz w:val="20"/>
              </w:rPr>
              <w:t>
Қазақстан Республикасында мүгедектігіне, асыраушысынан айрылу жағдайына және жасына байланысты берілетін мемлекеттік әлеуметтік жәрдемақылар туралы заңнама нормаларын өзектендіру қажет.</w:t>
            </w:r>
          </w:p>
          <w:p>
            <w:pPr>
              <w:spacing w:after="20"/>
              <w:ind w:left="20"/>
              <w:jc w:val="both"/>
            </w:pPr>
            <w:r>
              <w:rPr>
                <w:rFonts w:ascii="Times New Roman"/>
                <w:b/>
                <w:i w:val="false"/>
                <w:color w:val="000000"/>
                <w:sz w:val="20"/>
              </w:rPr>
              <w:t>Дактилоскопиялық және геномдық тіркеу саласындағы заңнама</w:t>
            </w:r>
            <w:r>
              <w:br/>
            </w:r>
            <w:r>
              <w:rPr>
                <w:rFonts w:ascii="Times New Roman"/>
                <w:b w:val="false"/>
                <w:i w:val="false"/>
                <w:color w:val="000000"/>
                <w:sz w:val="20"/>
              </w:rPr>
              <w:t>
Қазақстан Республикасының азаматтары, сондай-ақ Қазақстан Республикасында уақытша болатын және уақытша немесе тұрақты тұратын шетел азаматтары немесе азаматтығы жоқ адамдар туралы толық, дәйекті және өзекті ақпараттың болуы мемлекеттің әлеуметтік-экономикалық дамуын және қауіпсіздігін қамтамасыз етудің маңызды шарты болып табылады.</w:t>
            </w:r>
            <w:r>
              <w:br/>
            </w:r>
            <w:r>
              <w:rPr>
                <w:rFonts w:ascii="Times New Roman"/>
                <w:b w:val="false"/>
                <w:i w:val="false"/>
                <w:color w:val="000000"/>
                <w:sz w:val="20"/>
              </w:rPr>
              <w:t>
Осыған байланысты, нақты адамға тиесілі дактилоскопиялық және геномдық деректердің сәйкестігін айқындау мүмкіндіктерін енгізу мәселелерін пысықтау қажет.</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жылғы бірінші жартыжылдық</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Сыбайлас жемқорлыққа қарсы іс-қимыл</w:t>
            </w:r>
            <w:r>
              <w:br/>
            </w:r>
            <w:r>
              <w:rPr>
                <w:rFonts w:ascii="Times New Roman"/>
                <w:b w:val="false"/>
                <w:i w:val="false"/>
                <w:color w:val="000000"/>
                <w:sz w:val="20"/>
              </w:rPr>
              <w:t>
Сыбайлас жемқорлыққа қарсы іс-қимыл елдің әрбір мемлекеттік органының  жұмысындағы ең маңызды басымдықтардың бірі ретінде қаралады. Бұл ретте осы саладағы негізгі міндеттер: азаматтардың құқықтарын, бостандықтары мен заңды мүдделерін және қоғамды сыбайлас жемқорлықтан қорғауды қамтамасыз ету, мемлекеттік органдар мен жергілікті өзін-өзі басқару органдары қызметінің ашықтығын және айқындығын қамтамасыз ету, сыбайлас жемқорлыққа қарсы іс-қимыл жөніндегі азаматтық қоғам институттарының және халықтың рөлін арттыру, мемлекеттік органдар мен жергілікті өзін-өзі басқару органдарының қызметіне қоғамдық және партиялық бақылауды күшейту, корпоративтік сыбайлас жемқорлықтың, мүдделер коллизиясы туындауының алдын алу және кәсіпорындар мен мемлекет арасындағы шарттық қатынастардағы адал коммерциялық практиканы көтермелеу болып табылады.</w:t>
            </w:r>
            <w:r>
              <w:br/>
            </w:r>
            <w:r>
              <w:rPr>
                <w:rFonts w:ascii="Times New Roman"/>
                <w:b w:val="false"/>
                <w:i w:val="false"/>
                <w:color w:val="000000"/>
                <w:sz w:val="20"/>
              </w:rPr>
              <w:t>
Осыған байланысты, сыбайлас жемқорлықты туындататын жағдайлар мен себептерді барынша азайтуға бағытталған заңнамалық шаралар кешенін қабылдау қажет.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