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b8de" w14:textId="3a5b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кадрлар даярлау жөніндегі республикалық комиссия туралы" Қазақстан Республикасы Президентінің 2000 жылғы 12 қазандағы № 470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2012 жылғы 11 маусымдағы № 339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2" w:id="0"/>
    <w:p>
      <w:pPr>
        <w:spacing w:after="0"/>
        <w:ind w:left="0"/>
        <w:jc w:val="both"/>
      </w:pPr>
      <w:r>
        <w:rPr>
          <w:rFonts w:ascii="Times New Roman"/>
          <w:b/>
          <w:i w:val="false"/>
          <w:color w:val="000000"/>
          <w:sz w:val="28"/>
        </w:rPr>
        <w:t>      ҚАУЛЫ ЕТЕМІН:</w:t>
      </w:r>
      <w:r>
        <w:br/>
      </w:r>
      <w:r>
        <w:rPr>
          <w:rFonts w:ascii="Times New Roman"/>
          <w:b w:val="false"/>
          <w:i w:val="false"/>
          <w:color w:val="000000"/>
          <w:sz w:val="28"/>
        </w:rPr>
        <w:t>
      1.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 43, 503-құжат; 2004 ж., № 22, 276-құжат; 2005 ж., № 19, 227-құжат; 2006 ж., № 1, 2-құжат; 2008 ж., № 4, 44-құжат; № 20, 182-құжат; № 42, 465-құжат; 2010 ж., № 9, 105-құжат; 2012 ж., № 10, 189-құжат)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Жарлықпен бекітілген Шетелде кадрлар даярлау жөніндегі республикалық комиссия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3) және 4)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«Болашақ» халықаралық стипендиясын тағайындау үшін үміткерлерді іріктеу ережесіне (бұдан әрі - Іріктеу ережесі) сәйкес «Болашақ» халықаралық стипендиясын тағайындау туралы, «Болашақ» халықаралық стипендиясынан айыру, одан бас тартуды қабылдау туралы шешім, сондай-ақ «Болашақ» халықаралық стипендиясы шеңберінде алған мамандығы бойынша еңбек қызметін Қазақстан Республикасының аумағында жүзеге асыруды кейінге қалдыру туралы шешім қабылдау;</w:t>
      </w:r>
      <w:r>
        <w:br/>
      </w:r>
      <w:r>
        <w:rPr>
          <w:rFonts w:ascii="Times New Roman"/>
          <w:b w:val="false"/>
          <w:i w:val="false"/>
          <w:color w:val="000000"/>
          <w:sz w:val="28"/>
        </w:rPr>
        <w:t>
</w:t>
      </w:r>
      <w:r>
        <w:rPr>
          <w:rFonts w:ascii="Times New Roman"/>
          <w:b w:val="false"/>
          <w:i w:val="false"/>
          <w:color w:val="000000"/>
          <w:sz w:val="28"/>
        </w:rPr>
        <w:t>
      3) «Болашақ» халықаралық стипендиясын тағайындау үшін басым мамандықтар тізбесін жыл сайын бекіту;</w:t>
      </w:r>
      <w:r>
        <w:br/>
      </w:r>
      <w:r>
        <w:rPr>
          <w:rFonts w:ascii="Times New Roman"/>
          <w:b w:val="false"/>
          <w:i w:val="false"/>
          <w:color w:val="000000"/>
          <w:sz w:val="28"/>
        </w:rPr>
        <w:t>
</w:t>
      </w:r>
      <w:r>
        <w:rPr>
          <w:rFonts w:ascii="Times New Roman"/>
          <w:b w:val="false"/>
          <w:i w:val="false"/>
          <w:color w:val="000000"/>
          <w:sz w:val="28"/>
        </w:rPr>
        <w:t>
      4) Іріктеу ережесінде белгіленген адамдар санаттары үшін «Болашақ» халықаралық стипендиясының шекті санын жыл сайын белгілеу;»;</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«Болашақ» бағдарламасы түлектерін жұмысқа орналастыру мәселелерін үйлестіруді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«Болашақ» халықаралық стипендиясы шеңберінде шетелде оқыту үшін мәндес мамандықтар тізбесін, «Болашақ» халықаралық стипендиясы иегерлерінің (бұдан әрі - стипендиат) оқуы, тілдік курстардан өтуі үшін ұсынылатын шетелдік жетекші жоғары оқу орындарының, шетелдік ұйымдардың тізімін, «Болашақ» халықаралық стипендиясын тағайындау үшін бағалар баламалылығы кестесін, тілдік курстардың ұзақтылық кестесін бекітеді;</w:t>
      </w:r>
      <w:r>
        <w:br/>
      </w:r>
      <w:r>
        <w:rPr>
          <w:rFonts w:ascii="Times New Roman"/>
          <w:b w:val="false"/>
          <w:i w:val="false"/>
          <w:color w:val="000000"/>
          <w:sz w:val="28"/>
        </w:rPr>
        <w:t>
</w:t>
      </w:r>
      <w:r>
        <w:rPr>
          <w:rFonts w:ascii="Times New Roman"/>
          <w:b w:val="false"/>
          <w:i w:val="false"/>
          <w:color w:val="000000"/>
          <w:sz w:val="28"/>
        </w:rPr>
        <w:t>
      4) тамақтануға, тұруға, оқу әдебиеттерін сатып алуға арналған шығыстар нормаларын әзірлейді және бекітеді, тұратын жерінен шет елдердің тиісті мемлекеттік органдары, шетелдің жоғары оқу орындары, тілдік курстар мен тағылымдамаларды өткізуді жүзеге асыратын шетелдік ұйымдар, статистикалық, рейтингілік және өзге де тиісті ұйымдар және/немесе шет мемлекеттің уәкілетті органдары белгілеген оқытуды ұйымдастыру бойынша қызметтер көрсететін шетелдік ұйымдар ұсынған құжаттардың және/немесе өзге ақпараттың негізінде оқитын, тілдік курстардан не тағылымдамадан өтетін жеріне дейін жол жүру бойынша көлік түрі мен сыныбын анықтайды;»;</w:t>
      </w:r>
      <w:r>
        <w:br/>
      </w:r>
      <w:r>
        <w:rPr>
          <w:rFonts w:ascii="Times New Roman"/>
          <w:b w:val="false"/>
          <w:i w:val="false"/>
          <w:color w:val="000000"/>
          <w:sz w:val="28"/>
        </w:rPr>
        <w:t>
</w:t>
      </w:r>
      <w:r>
        <w:rPr>
          <w:rFonts w:ascii="Times New Roman"/>
          <w:b w:val="false"/>
          <w:i w:val="false"/>
          <w:color w:val="000000"/>
          <w:sz w:val="28"/>
        </w:rPr>
        <w:t>
      7)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мемлекеттік және шет тілдерін білудің қажетті ең төменгі деңгейін, шетелдік жоғары оқу орындарының, шетелдік мемлекеттердің уәкілетті органдары айқындайтын шетелдік ұйымдардың талаптарын ескере отырып, пәндік емтихандар бойынша ең төменгі бастапқы балды белгілейді;</w:t>
      </w:r>
      <w:r>
        <w:br/>
      </w:r>
      <w:r>
        <w:rPr>
          <w:rFonts w:ascii="Times New Roman"/>
          <w:b w:val="false"/>
          <w:i w:val="false"/>
          <w:color w:val="000000"/>
          <w:sz w:val="28"/>
        </w:rPr>
        <w:t>
</w:t>
      </w:r>
      <w:r>
        <w:rPr>
          <w:rFonts w:ascii="Times New Roman"/>
          <w:b w:val="false"/>
          <w:i w:val="false"/>
          <w:color w:val="000000"/>
          <w:sz w:val="28"/>
        </w:rPr>
        <w:t>
      8) қажетті материалдарды Республикалық комиссияның отырысына енгізеді;»;</w:t>
      </w:r>
      <w:r>
        <w:br/>
      </w:r>
      <w:r>
        <w:rPr>
          <w:rFonts w:ascii="Times New Roman"/>
          <w:b w:val="false"/>
          <w:i w:val="false"/>
          <w:color w:val="000000"/>
          <w:sz w:val="28"/>
        </w:rPr>
        <w:t>
</w:t>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осы Ереженің 4-тармағында көзделген Республикалық комиссияның міндеттерін жүзеге асыру шеңберінде қарауы оның құзыретіне кіретін мәселелерді қоспағанда, «Болашақ» халықаралық стипендиясы иегерлерінің өтініштерін қарау жөніндегі комиссияны құрады;»;</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стипендиаттармен оқуға/тағылымдамадан өтуге шарт жасасу, стипендиаттарды орналастыруды жүзеге асыру, стипендиаттардың үлгерімі мен еңбек қызметін жүзеге асыру, стипендиаттардың міндеттемелерін орындауын қамтамасыз ету ретінде ұсынылған кепіл мүлкін ауыстыру, Республикалық комиссия «Болашақ» халықаралық стипендиясын тағайындау туралы шешім шығарған күннен бастап тұрақсыздық төлемін (айыппұлды) қоса алғанда, стипендиатқа жұмсалған шығыстарды өтеу тәртібі мен шарттарын бекітеді.».</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