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8dca" w14:textId="6ba8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құрылымдарының жалпыәскери жарғыларын бекіту туралы" Қазақстан Республикасы Президентінің 2007 жылғы 5 шілдедегі № 364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2012 жылғы 7 мамырдағы № 320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ПҮАЖ-ы, 2009 ж., № 24-25, 207-құжат)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Қазақстан Республикасы Ішкі істер министрлігі, Қазақстан Республикасы Төтенше жағдайлар министрлігі, Қазақстан Республикасы Ұлттық қауіпсіздік комитеті, Республикалық ұлан, Бас прокуратура бағынысындағы әскерлер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 әскери жарғыларын басшылыққа алсын.»;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Қорғаныс министрінің, Ұлттық қауіпсіздік комитеті Төрағасының, Төтенше жағдайлар министрінің, республикалық Ұлан қолбасшысының, Қазақстан Республикасы Ұлттық қауіпсіздік комитеті Шекара қызметі директорының, Ішкі әскерлер қолбасшысының, Бас әскери прокурордың орынбасарлары өздеріне бағынысты әскери қызметшілерге қатысты Қарулы Күштер түрі бас қолбасшысының құқықтарын пайдаланады.</w:t>
      </w:r>
      <w:r>
        <w:br/>
      </w:r>
      <w:r>
        <w:rPr>
          <w:rFonts w:ascii="Times New Roman"/>
          <w:b w:val="false"/>
          <w:i w:val="false"/>
          <w:color w:val="000000"/>
          <w:sz w:val="28"/>
        </w:rPr>
        <w:t>
</w:t>
      </w:r>
      <w:r>
        <w:rPr>
          <w:rFonts w:ascii="Times New Roman"/>
          <w:b w:val="false"/>
          <w:i w:val="false"/>
          <w:color w:val="000000"/>
          <w:sz w:val="28"/>
        </w:rPr>
        <w:t>
      29. Қазақстан Республикасының Қорғаныс министрі, Ұлттық қауіпсіздік комитетінің Төрағасы, республикалық Ұланның қолбасшысы, Қазақстан Республикасы Ішкі істер министрі, Қазақстан Республикасы Төтенше жағдайлар министрі және Қазақстан Республикасының Бас әскери прокуроры өздеріне бағынысты әскери қызметшілерге қатысты осы Жарғыдағы тәртіптік құқықтарды толық көлемде пайдаланады.».</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