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ca22" w14:textId="801c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"Ұлты қазақ азаматтардың тегі мен әкесінің атын жазуға байланысты мәселелерді шешу тәртібі туралы" Қазақстан Республикасы Президентінің 1996 жылғы 2 сәуірдегі № 2923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4 ақпандағы № 265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  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«Ұлты қазақ азаматтардың тегі мен әкесінің атын жазуға байланысты мәселелерді шешу тәртібі туралы» Қазақстан Республикасы Президентінің 1996 жылғы 2 сәуірдегі № 2923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14, 107-құжат; 2005 ж., № 2, 10-құжат)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азаматының паспортын және жеке басының куәлігін берген кезде құжаттандыру саласындағы уәкілетті мемлекеттік орган осы Жарлықтың 1-тармағында көзделгендей, тегі мен әкесінің атының жазылуын оңайлатылған тәртіппен, азаматтық хал-ахуалын жазу актілеріне өзгерістер енгізусіз жүргізеді деп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