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c596" w14:textId="bf6c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пенитенциарлық жүйесі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26 шілдедегі № 129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пенитенциарлық жүйесін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министрлігінің қылмыстық-атқару қызметі, оның ішінде қылмыс жасағаны үшін </w:t>
      </w:r>
      <w:r>
        <w:rPr>
          <w:rFonts w:ascii="Times New Roman"/>
          <w:b w:val="false"/>
          <w:i w:val="false"/>
          <w:color w:val="000000"/>
          <w:sz w:val="28"/>
        </w:rPr>
        <w:t>сезікті және айыпталушыларды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ұстау және тергеу изоляторларында жазасын өтеп жатқан сотталғандарға қатысты қылмыстық жазаны орындау саласындағы функциялары мен </w:t>
      </w:r>
      <w:r>
        <w:rPr>
          <w:rFonts w:ascii="Times New Roman"/>
          <w:b w:val="false"/>
          <w:i w:val="false"/>
          <w:color w:val="000000"/>
          <w:sz w:val="28"/>
        </w:rPr>
        <w:t>өкілеттіктерін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Ішкі істер министрлігіне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Ішкі істер министрлігінің Қылмыстық-атқару жүйесі комитетін </w:t>
      </w:r>
      <w:r>
        <w:rPr>
          <w:rFonts w:ascii="Times New Roman"/>
          <w:b w:val="false"/>
          <w:i w:val="false"/>
          <w:color w:val="000000"/>
          <w:sz w:val="28"/>
        </w:rPr>
        <w:t>құруды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Әділет министрлігінің Қылмыстық-атқару жүйесі комитетін таратуды;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Жарлықтың 1-тармағының 3) тармақшасында көрсетілген мемлекеттік органның штат санын Қазақстан Республикасы Ішкі Істер министрлігіне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Жарлықтан туындайтын заң жобаларын әзірлеуді және Қазақстан Республикасы Парламенті Мәжілісіне енгізуді;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осы Жарлықты іске асыру жөніндегі өзге де қажетті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