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e321" w14:textId="376e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экономиканың бәсекеге қабілеттілігі мен тұрақтылығын қамтамасыз ету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669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экономиканың бәсекеге қабілеттілігі мен тұрақтылығын арттыру және әлемдік нарықтағы өзгерістердің елдегі экономикалық өсуге ықтимал жайсыз әсер етуі факторларынан сақтандыру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"Самұрық" мемлекеттік активтерді басқару жөніндегі қазақстандық холдингі </w:t>
      </w:r>
      <w:r>
        <w:rPr>
          <w:rFonts w:ascii="Times New Roman"/>
          <w:b w:val="false"/>
          <w:i w:val="false"/>
          <w:color w:val="000000"/>
          <w:sz w:val="28"/>
        </w:rPr>
        <w:t>акционерлік қоғамы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"Қазына" орнықты даму қоры" акционерлік қоғамын біріктіру жолымен "Самұрық-Қазына" ұлттық әл-ауқат қоры" (бұдан әрі — Қор)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құратын болсын;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Қорды — негізгі мақсаты ұлттық даму институттарының, ұлттық компаниялар мен баска да заңды тұлғалардың өзіне меншік құқығында тиесілі акциялар пакеттерін (қатысу үлестерін) басқару болып табылатын ұлттық басқарушы холдинг деп айқындасын;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екі апта мерзімде: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 қызметінің негізгі принциптері туралы меморандумды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акциялар пакеттері Қордың жарғылық капиталына берілетін, соның ішінде "Қазатомөнеркәсіп" ұлттық атом компаниясы", "Eurasian Natural Resources Corporation", "Қазақмыс" корпорациясы", "Қазақстандық ипотекалық кредиттерге кепілдік беру қоры", "Сарыарқа" әлеуметтік-кәсіпкерлік корпорациясы" ұлттық компаниясы", "Оңтүстік" әлеуметтік-кәсіпкерлік корпорациясы" ұлттық компаниясы", "Ертіс" әлеуметтік-кәсіпкерлік корпорациясы" ұлттық компаниясы", "Жетісу" әлеуметтік-кәсіпкерлік корпорациясы" ұлттық компаниясы", "Каспий" әлеуметтік-кәсіпкерлік корпорациясы" ұлттық компаниясы", "Тобыл" әлеуметтік-кәсіпкерлік корпорациясы" ұлттық компаниясы", "Батыс" әлеуметтік-кәсіпкерлік корпорациясы" ұлттық компаниясы" акционерлік қоғамдарын қамтитын: "Қазақстанның Тұрғын үй құрылыс жинақ банкі" акционерлік қоғамына қатысты — кейіннен жарғылық капиталға берумен сенімгерлік басқаруға берілетін акционерлік қоғамдардың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бекітуді қамтамасыз етсін;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Қорды тіркеу рәсімін жүргізгеннен кейін бір апта мерзімде, кейіннен жарғылық капиталға берумен сенімгерлік басқаруға берілетін "Қазақстанның Тұрғын үй құрылыс жинақ банкі"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қоспағанда, осы тармақтың 3) тармақшасында көрсетілген тізбеге сәйкес акционерлік қоғамдардың мемлекеттік акциялар пакетін оның жарғылық капиталын төлеуге беруді қамтамасыз етсін;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бір ай мерзімде қолданыстағы нормативтік құқықтық актілерге тиісті өзгерістер мен толықтырулар енгізуді қамтамасыз етсін;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Жарлықты іске асыру үшін қажетті өзге де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шаралар </w:t>
      </w: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Президентінің 2011.08.10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Жарлықтың орындалуын бақылау Қазақстан Республикасы Президентінің Әкімшілігіне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