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1b1e0" w14:textId="791b1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Валюталық шот ашу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17 қыркүйек N 442-ө</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меншiгiн сату жөнiндегi
тендерге қатысушы шетелдiк инвесторлардың кепiлдiк жарналарын
есептеу үшiн:
</w:t>
      </w:r>
      <w:r>
        <w:br/>
      </w:r>
      <w:r>
        <w:rPr>
          <w:rFonts w:ascii="Times New Roman"/>
          <w:b w:val="false"/>
          <w:i w:val="false"/>
          <w:color w:val="000000"/>
          <w:sz w:val="28"/>
        </w:rPr>
        <w:t>
          Қазақстан Республикасының Жекешелендiру жөнiндегi мемлекеттiк
комитетi Қазақстанның Халықтық Жинақ Банкiнде валюталық шот ашсын.
Қазақстанның Халықтық Жинақ Банкiнiң валюталық шотын тендер
жеңiмпазының валюталық қаржыларын Қазақстан Республикасының Қаржы
министрлiгiнiң ағымдағы шотына аудару арқылы, сондай-ақ аталған
тиiстi реквизиттер бойынша тендердiң өзге қатысушыларына кепiлдiк
жарналарын қайтару үшiн транзиттiк шот ретiнде пайдаланылсын.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