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4fa5" w14:textId="b154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туралы</w:t>
      </w:r>
    </w:p>
    <w:p>
      <w:pPr>
        <w:spacing w:after="0"/>
        <w:ind w:left="0"/>
        <w:jc w:val="both"/>
      </w:pPr>
      <w:r>
        <w:rPr>
          <w:rFonts w:ascii="Times New Roman"/>
          <w:b w:val="false"/>
          <w:i w:val="false"/>
          <w:color w:val="000000"/>
          <w:sz w:val="28"/>
        </w:rPr>
        <w:t>Қазақстан Республикасы Премьер-Министрiнiң өкiмi 24 маусым 1993 ж. N 252-ө</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валюта қорына валюта қаржыларының түсуiн 
қамтамасыз ету мақсатында және Қазақстан Республикасы 
Президентiнiң "Экономиканы тұрақтандыру және нарықтық қайта
құрулар жүргiзу кезеңiнде Қазақстан Республикасының сыртқы
экономикалық қызметiн ұйымдастыру туралы" 1993 жылғы 25 қаңтардағы
N 585 Жарлығына, Қазақстан Республикасы Президентiнiң "1993 жылы
Қазақстан Республикасында валюта қорларын қалыптастыру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1993 жылғы 21 қаңтардағы N 1092 қаулысына сәйкес:
     Қазақстан Республикасының Қаржы министрлiгi баспабас 
алыс-берiс негiзiнде экспортқа берiлiп тұратын өнiмдерден аталған
қосымшадағы номенклатураға сәйкес еркiн айналымдағы валюта кеден
баж салығы төлеттiрiлуiн қамтамасыз етсiн.
     Премьер-министр
                                       Қазақстан Республикасы
                                        Премьер-министрiнiң 
                                     1993 жылғы 24 маусымдағы
                                       N 252 өкiмiне қосымша
            Баспабас алыс-берiс жасаған кезде шетелдiк
          валютада кеден баж салығы салынатын мемлекеттiк
                  маңызы бар өнiмдердiң тiзбесi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