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f748" w14:textId="91ff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көміртегі бейтараптығына қол жеткізуінің 2060 жылға дейінгі стратегиясын бекіту туралы" Қазақстан Республикасы Президентінің 2023 жылғы 2 ақпандағы № 121 Жарлығын іске асыру жөніндегі ұйымдастыру іс-шараларының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2026 жылғы 1 қыркүйектегі № 145-ө өкімі</w:t>
      </w:r>
    </w:p>
    <w:p>
      <w:pPr>
        <w:spacing w:after="0"/>
        <w:ind w:left="0"/>
        <w:jc w:val="both"/>
      </w:pPr>
      <w:bookmarkStart w:name="z3" w:id="0"/>
      <w:r>
        <w:rPr>
          <w:rFonts w:ascii="Times New Roman"/>
          <w:b w:val="false"/>
          <w:i w:val="false"/>
          <w:color w:val="000000"/>
          <w:sz w:val="28"/>
        </w:rPr>
        <w:t xml:space="preserve">
      1. Қоса беріліп отырған "Қазақстан Республикасының көміртегі бейтараптығына қол жеткізуінің 2060 жылға дейінгі стратегиясын бекіту туралы" Қазақстан Республикасы Президентінің 2023 жылғы 2 ақпандағы № 121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ұйымдастыру іс-шараларының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0"/>
    <w:bookmarkStart w:name="z4" w:id="1"/>
    <w:p>
      <w:pPr>
        <w:spacing w:after="0"/>
        <w:ind w:left="0"/>
        <w:jc w:val="both"/>
      </w:pPr>
      <w:r>
        <w:rPr>
          <w:rFonts w:ascii="Times New Roman"/>
          <w:b w:val="false"/>
          <w:i w:val="false"/>
          <w:color w:val="000000"/>
          <w:sz w:val="28"/>
        </w:rPr>
        <w:t>
      2. Жоспарды іске асыруға жауапты орталық мемлекеттік органдар, сондай-ақ мүдделі ұйымдар (келісу бойынша):</w:t>
      </w:r>
    </w:p>
    <w:bookmarkEnd w:id="1"/>
    <w:bookmarkStart w:name="z5" w:id="2"/>
    <w:p>
      <w:pPr>
        <w:spacing w:after="0"/>
        <w:ind w:left="0"/>
        <w:jc w:val="both"/>
      </w:pPr>
      <w:r>
        <w:rPr>
          <w:rFonts w:ascii="Times New Roman"/>
          <w:b w:val="false"/>
          <w:i w:val="false"/>
          <w:color w:val="000000"/>
          <w:sz w:val="28"/>
        </w:rPr>
        <w:t xml:space="preserve">
      1) Жоспарды іске асыру жөнінде қажетті шараларды қабылдасын; </w:t>
      </w:r>
    </w:p>
    <w:bookmarkEnd w:id="2"/>
    <w:bookmarkStart w:name="z6" w:id="3"/>
    <w:p>
      <w:pPr>
        <w:spacing w:after="0"/>
        <w:ind w:left="0"/>
        <w:jc w:val="both"/>
      </w:pPr>
      <w:r>
        <w:rPr>
          <w:rFonts w:ascii="Times New Roman"/>
          <w:b w:val="false"/>
          <w:i w:val="false"/>
          <w:color w:val="000000"/>
          <w:sz w:val="28"/>
        </w:rPr>
        <w:t>
      2) ай сайын, Қазақстан Республикасының Экология және табиғи ресурстар министрлігіне Жоспардың орындалу барысы туралы ақпарат беріп тұрсын.</w:t>
      </w:r>
    </w:p>
    <w:bookmarkEnd w:id="3"/>
    <w:bookmarkStart w:name="z7" w:id="4"/>
    <w:p>
      <w:pPr>
        <w:spacing w:after="0"/>
        <w:ind w:left="0"/>
        <w:jc w:val="both"/>
      </w:pPr>
      <w:r>
        <w:rPr>
          <w:rFonts w:ascii="Times New Roman"/>
          <w:b w:val="false"/>
          <w:i w:val="false"/>
          <w:color w:val="000000"/>
          <w:sz w:val="28"/>
        </w:rPr>
        <w:t>
      3. Осы өкімнің орындалуын бақылау Қазақстан Республикасының Экология және табиғи ресурстар министрлігіне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 қыркүйектегі</w:t>
            </w:r>
            <w:r>
              <w:br/>
            </w:r>
            <w:r>
              <w:rPr>
                <w:rFonts w:ascii="Times New Roman"/>
                <w:b w:val="false"/>
                <w:i w:val="false"/>
                <w:color w:val="000000"/>
                <w:sz w:val="20"/>
              </w:rPr>
              <w:t>№ 145-ө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"Қазақстан Республикасының көміртегі бейтараптығына қол жеткізуінің 2060 жылға дейінгі стратегиясын бекіту туралы" Қазақстан Республикасы Президентінің 2023 жылғы 2 ақпандағы № 121 Жарлығын іске асыру жөніндегі ұйымдастыру іс-шараларының жоспары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Аяқталу</w:t>
            </w:r>
          </w:p>
          <w:bookmarkEnd w:id="6"/>
          <w:p>
            <w:pPr>
              <w:spacing w:after="20"/>
              <w:ind w:left="20"/>
              <w:jc w:val="both"/>
            </w:pPr>
            <w:r>
              <w:rPr>
                <w:rFonts w:ascii="Times New Roman"/>
                <w:b w:val="false"/>
                <w:i w:val="false"/>
                <w:color w:val="000000"/>
                <w:sz w:val="20"/>
              </w:rPr>
              <w:t>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парниктік газдардың нетто-эмиссияларының деңгейін 2030 жылға қарай 327,8 млн тоннаға, 2040 жылға қарай 302,1 млн тоннаға, 2050 жылға қарай 163 млн тоннаға және 2060 жылға қарай 0 млн тоннаға дейін жеткізу;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энергетика салаларындағы шығарындылар көлемін 2030 жылға қарай 117,3 млн тоннаға, 2040 жылға қарай 110,8 млн тоннаға, 2050 жылға қарай 48,7 млн тоннаға және 2060 жылға қарай 3,2 млн тоннаға дейін жеткізу;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көліктегі шығарындылар деңгейін 2030 жылға қарай 35 млн тоннаға, 2040 жылға қарай 34,5 млн тоннаға, 2050 жылға қарай 17,2 млн тоннаға және 2060 жылға қарай 0 млн тоннаға дейін жеткізу;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ғимараттардағы шығарындылар деңгейін 2030 жылға қарай 28,3 млн тоннаға, 2040 жылға қарай 23,2 млн тоннаға, 2050 жылға қарай 3,3 млн тоннаға және 2060 жылға қарай 0 млн тоннаға дейін жеткізу;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ұшпа эмиссиялар деңгейін (көмір өндіруді және мұнай-газ саласын қоса алғанда) 2030 жылға қарай 39,5 млн тоннаға, 2040 жылға қарай 36,2 млн тоннаға, 2050 жылға қарай 19,4 млн тоннаға және 2060 жылға қарай 2,4 млн тоннаға дейін жеткізу;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өнеркәсіптегі шығарындылар көлемін 2030 жылға қарай 60,4 млн тоннаға, 2040 жылға қарай 61 млн тоннаға, 2050 жылға қарай 61,8 млн тоннаға және 2060 жылға қарай 33 млн тоннаға дейін жеткізу;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 және орман шаруашылығындағы, жер пайдаланудағы шығарындылар мен сіңіру деңгейін 2030 жылға қарай 28,8 млн тоннаға, 2040 жылға қарай 20,8 млн тоннаға, 2050 жылға қарай 1,6 млн тоннаға және 2060 жылға қарай минус 7,4 млн тоннаға дейін жеткізу;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қалдықтар секторындағы шығарындылар деңгейін 2030 жылға қарай 6 млн тоннаға, 2040 жылға қарай 4,5 млн тоннаға, 2050 жылға қарай 3,9 млн тоннаға және 2060 жылға қарай 3,4 млн тоннаға дейін жеткізу;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КҰС технологияларын қолдана отырып көміртегін 2060 жылға қарай 37,1 млн тонна СО₂-эквивалент көлемінде ұстауға қол жеткізу;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Неғұрлым тиімді су үнемдеу аспаптары мен жабдықтарын пайдалануға көшу есебінен сарқынды сулардың  көлемін 2030 жылға қарай 5%-ға, 2040 жылға қарай 7%-ға, 2050 жылға қарай 10%-ға және 2060 жылға қарай 15%-ға қысқарту;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 қаупін (су тасқыны мен су тапшылығын) мониторингтеу, модельдеу және болжаудың цифрлық жүйелерімен жарақтандырылған Қазақстан Республикасы су шаруашылығы объектілерінің (су қоймалары, гидротехникалық тораптар, арналар мен гидрологиялық бекеттер) үлесін 2030 – 40%-ға, 2040 жылға қарай – 60%-ға, 2050 жылға қарай – 80%-ға, 2060 жылға қарай – 100%-ға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климаттың өзгеруіне бейімделуді арттыратын технологиялар мен практикаларды қолдана отырып басқарылатын ауыл шаруашылығы жерлері (егістік және жайылымдар) алаңының үлесін 2030 жылға қарай 15%-ға, 2040 жылға қарай 30%-ға, 2050 жылға қарай 40%-ға және 2060 жылға қарай 50%-ға дейін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табиғат қорғау ұйымдары мен орман шаруашылығы мекемелерін материалдық-техникалық жарақтандыруды нормаға сай 2030 жылға қарай 85%-ға дейін, 2040 жылға қарай 90%-ға дейін, 2050 жылға қарай 95%-ға және 2060 жылға қарай 100%-ға дейін жеткізу;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Халықты климаттық және гидрометеорологиялық қауіптер туралы ерте ескерту жүйелерімен (сиреналар, дауыс зорайтқыш байланыс жүйелері) қамту деңгейін 2030 жылға қарай 100 000 тұрғынға шаққанда 40 000 адамға, 2040 жылға қарай 50 000 адамға, 2050 жылға қарай 60 000 адамға және 2060 жылға қарай 90 000 адамға дейін жеткізу;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орманмен көмкерілген аумақтардың алаңын 2030 жылға қарай 14,48 млн гектарға дейін, 2040 жылға қарай 15,1 млн гектарға дейін, 2050 жылға қарай 15,5 млн гектарға дейін, 2060 жылға қарай 15,9 млн гектарға дейін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ерекше қорғалатын табиғи аумақтардың бірыңғай экологиялық желісін және репрезентативтік жүйесін 2030 жылға қарай 33,2 млн гектарға дейін, 2040 жылға қарай 33,7 млн гектарға дейін, 2050 жылға қарай 34,2 млн гектарға дейін, 2060 жылға қарай 34,7 млн гектарға дейін кеңейту.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мен жылу энергиясын өндіру" 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іс-шаралар жоспарларын  әзірлей отырып қажетті инвестицияларды, басымдықтарын ескеріп, көмір қуаттарының жабдықтарын пайдаланудан кезең-кезеңімен шығару немесе ауыстыру мүмкіндігін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қуаттарының техникалық жай-күйін, оларды пайдаланудың экономикалық тиімділігін, оларды баламалы көздермен алмастыру мүмкіндігін бағалау үшін олардың ағымдағы жай-күйін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бірлесіп өндіру мен жылу энергиясын өндіру үшін гидрогеотермалдық ресурстарды игеру жоспарын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СРИМ, Геология комитеті, ӨҚМ,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іс-шараларын ынталандыруға және жылумен жабдықтау саласындағы шығындарды азайтуға бағытталған ұсыныстарды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"Smart Turmys" шеңберінде өнеркәсіп арасында да, халық арасында да энергия тұтынуды басқарудың зияткерлік жүйелерін, энергия үнемдеу технологияларын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2027-2060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бейтараптығына қол жеткізу стратегиясы мақсаттарына қол жеткізудегі үлесті үйлестіру функциялары бар сутегі энергетикасы жөніндегі ведомствоаралық үйлестіру кеңесін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ЭТРМ, ӨҚМ,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энергетикасы саласындағы реттеуді жетілдіру жөнінде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төмен көміртекті сутегінің әлеуетті өндірушілері мен өнім берушілерінің ішкі нарығын талдау және сутегі саласындағы әлеуетті инвестициялық жобалардың тізілімін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 ӨҚМ ресми сайтындағы тізілім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сутегін және оның туындыларын (жасыл аммиак, метанол, "жасыл болат") қолдана отырып, металлургия, химия, цемент өнеркәсібі, ауыл шаруашылығы, көлік секторы кәсіпорындарын көміртексіздендіру жөніндегі жол карталарын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сегменттерді айқындаумен және инвестициялық қажеттіліктерді бағалай отырып, сутегі мен ол үшін шикізат өндіруден (жаңартылатын электр энергиясын қоса алғанда) оның түпкілікті пайдаланылуына дейінгі кезеңдерді қамтитын құнын қалыптастырудың сутегі тізбегі жабдықтары мен компоненттерін өндіруді оқшаулау әлеуетіне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өнеркәсіптік, ауыл шаруашылығы, көлік және энергетика секторларында төмен көміртекті сутегін пайдалану жөніндегі пилоттық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құзыреттердің, оқу модульдерінің және оқыған мамандар саны бойынша нысаналы көрсеткіштердің тізбесін айқындай отырып, сутегі саласының мамандарын даярлау және біліктілігін арттыру бағдарламасын әзірлеу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2030-2035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 ҒЖБМ,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интернет-ресурстарда материалдарды орналастыру, сондай-ақ ақпараттық-түсіндіру іс-шараларын жүргізу арқылы төмен көміртекті сутегі туралы хабардарлықты арттыру бойынша ақпараттық науқандар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технологиялары саласындағы ғылыми зерттеулер мен тәжірибелік-конструкторлық әзірлемелер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баламалы пайдалану бойынша ұзақ мерзімді пайымды әзірлеу және көмірді пайдаланудың баламалы түрлерін қолдау үшін нормативтік құжаттар мен регламенттерді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өндіру процесінің барлық учаскелерінде көмірдің жануы мен эндогендік өрттің пайда болуының себептері туралы жылдық есепті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жылдан бастап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секторын көміртексіздендіру жөніндегі кешенді жоспарды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қуаттау станциялары мен газ толтыру компрессорлық станциялары үшін жиынтықтаушы жабдықтар өндіру бойынша кең ауқымды саланы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меншік нысандары ғимараттарын терможаңғыртудың ұзақ мерзімді жоспарын әзірлеу: күрделі жөндеу, энергияны аз тұтынатын үйлер бойынша пилоттық жобалар, жылу сорғыларын орнату, энергия тиімділігін арттыру және ЖАО шешімі бойынша ЭСКО және/немесе субсидиялар есебінен қаржыландыру тетіктері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және жеке тұрғын үйлердің энергия тиімділігіне, оларды жаңғыртуға және парниктік газдар шығарындыларын азайтуға қойылатын сараланған талаптарды айқындау үшін олардың жіктемесін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келісімі бойынша тұрғын үйлер мен муниципалды ғимараттардың шатырларына күн коллекторлары мен фотоэлектрлік панельдердің орнатылуын ынталандыру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2030-2060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ЭТРМ,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ТКШ-да жылыту және ыстық сумен жабдықтау үшін пайдаланылатын электр қыздырғыштармен аралас жұмыс істеуге арналған жылу сорғыларын кезең-кезеңімен енгізу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2026-2050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қоғамдық және өнеркәсіптік ғимараттарды, құрылыстар мен құрылысжайларды  жарықтандыруды, көшелерді жарықтандыруды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2026-2040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жаңа және реконструкцияланатын ғимараттарды энергия тиімділігі сыныптары бойынша (A+-тен E-ге дейін) кейіннен күрделі жөндеу кезінде қолданыстағы қорға кезең-кезеңімен кеңейте отырып міндетті таңбалау жүйесін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2030-2040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қоғамдық және өнеркәсіптік ғимараттарда, құрылыстар мен құрылыс жайларда ЫСЖ және жылыту мақсаттары үшін ЖЭК қоса алғанда, жаңа технологияларды ынталандыру шараларын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материалдарды өндіру үшін көміртегін (КҰС технологиясымен бірге) пайдалану мүмкіндігіне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объектілер мен технологияларды "Пайдалану" және "Кәдеге жарату" кезеңінде мемлекеттік реттеуді жүйелеу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ӨҚМ, ЭМ, ТЖМ, СРИМ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өнімді верификациялау және таңбалау жүйелерін әзірлеу мүмкіндігін қарастыра отырып, материалдардың паспорттарын енгізу және өнімнің бүкіл өмірлік циклінде парниктік газдардың шығарылуын есепке алу мүмкіндігі бойынша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СИМ,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 жер пайдалану" 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Карбон егін шаруашылығы әдістерінің тиімділігін бағалау үшін ауыл шаруашылығы мақсатындағы жерлердің негізгі топырақ типтері бойынша карбон полигондарын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 кезінде метан шығарындыларын азайту жөніндегі пилоттық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 Қызылорда облысының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құрғақшылыққа, жоғары температураға және басқа да климаттық факторларға төзімді жаңа сорттарын өндіру жөніндегі селекциялық жобаларды кейіннен тіркеп және ауыл шаруашылығы өндірушілеріне бере отырып, мемлекеттік қолдау шараларын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субсидиялау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АШМ, ҰЭМ, СИМ, ЖИЦДМ, БҚДА,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квоталарын қалыптастыру, мониторингтеу, верификациялау және сертификаттаудың қолданыстағы әдістемелерін топырақта көмірқышқыл газын сіңіру және сақтау есебінен құрылатын ауылшаруашылығы алқаптарына бейімдеу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ЭТРМ, АШМ, </w:t>
            </w:r>
          </w:p>
          <w:p>
            <w:pPr>
              <w:spacing w:after="20"/>
              <w:ind w:left="20"/>
              <w:jc w:val="both"/>
            </w:pPr>
            <w:r>
              <w:rPr>
                <w:rFonts w:ascii="Times New Roman"/>
                <w:b w:val="false"/>
                <w:i w:val="false"/>
                <w:color w:val="000000"/>
                <w:sz w:val="20"/>
              </w:rPr>
              <w:t>"Жасыл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 органикалық көміртегінің негізгі желісін құру үшін цифрлық дерекқор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топырақ деректері банкі (дерекқоры)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жерлерінде көміртекті офсеттерді іске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көлемін ескере отырып және экологиялық талаптарды сақтап ауылдық жерлердегі полигондарды пайдалануға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жобаларының артуын және қалдықтарды қайта өңдеу, кәдеге жарату саласындағы жобаларды қаржылық қолдау тетіктерінің әзірленуін ынталандыру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ӨҚМ, ЭМ, ҰЭМ,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контейнерлер орнатуды, халықпен ақпараттық жұмысты және халықты қамту және бөлек жиналған қалдықтардың көлемі бойынша нысаналы көрсеткіштерді белгілей отырып, жиналған қалдықтарды өңдеуге беруді қоса алғанда, қалдықтарды бөлек жинауды ынталандыру шараларын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және энергия үнемдеу" 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ЖІӨ салалары энергия сыйымдылығының есеп-қисабы мен болжамының автоматтандырылған моделі бар энергия үнемдеу және энергия тиімділігін арттыру саласындағы бірыңғай цифрлық жүйе (орталықтандырылған ахуалдық орталық)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ҰЭҮО (келісу бойынша), ҰСБ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елу мың тоннаға және одан көп балама көлемде шартты отынға энергетикалық ресурстарды тұтынатын мемлекеттік энергетикалық тізілім субъектілерінің энергия тұтыну мониторингін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жергілікті атқарушы органдарының жылына бір мың бес жүз тоннаға және одан көп балама көлемде шартты отынға энергетикалық ресурстарды тұтынатын мемлекеттік мекемелердің объектілері мен квазимемлекеттік сектор субъектілері үшін энергия үнемдеу және энергия тиімділігін арттыру жөніндегі іс-шаралар жоспарларын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 беру бөлігінде рәсімді Қазақстан Республикасының Экологиялық кодексімен үйлестіру (энергияны көп қажет ететін ТОП-50 кәсіпорын үшін КЭР)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әртүрлі секторларынан шығатын метан шығарындыларының үлесі мен оларды азайту  мүмкіндіктерін айқындай отырып, метан шығарындыларын модельдеу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ӨҚМ, ҰЭМ, ЭМ,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метанын айқындаудың әдіснамасы мен коэффициентін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ТЖМ, ЭМ, ӨҚМ, "KAZENERGY" қауымдастығы ЗТБ,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шығарындыларын азайту және оларды іске асыру әдістемесін әзірлеу бойынша офсеттік жобаларды ынталандыру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2030-2060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экономикасына метан бойынша ЕО реттеу тәуекелдерін нивелирлеу бойынша қосымша шаралар әзірлей отырып талдау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ӨҚМ, ЭМ,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объектілердегі метан шығарындыларын дәл есепке алуды, оларды жобалауға, пайдалануға және өлшеу жабдығына бірыңғай талаптарды белгілеу арқылы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ЭТРМ, </w:t>
            </w:r>
          </w:p>
          <w:p>
            <w:pPr>
              <w:spacing w:after="20"/>
              <w:ind w:left="20"/>
              <w:jc w:val="both"/>
            </w:pPr>
            <w:r>
              <w:rPr>
                <w:rFonts w:ascii="Times New Roman"/>
                <w:b w:val="false"/>
                <w:i w:val="false"/>
                <w:color w:val="000000"/>
                <w:sz w:val="20"/>
              </w:rPr>
              <w:t>СИМ ТРМК,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Метанның ағып кетуін анықтауды мониторингтеу қағидаларын әзірлеу және мониторингтеу жүйесін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ЖИЦДМ, ЭМ, "Қазақстан Ғарыш сапары"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Метанның ағып кетуін аэроғарыштық мониторингтеуді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2028-2060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ЭТРМ, "Қазақстан Ғарыш сапары"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жылумен жабдықтау және тасымалдау үшін шахта метаны мен көмір қабаттарының метанын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2030-2050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өзгеруіне бейімделу" 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өзгеруінің көміртексіздендіру шараларына әсерін және олардың бейімделу күш-жігеріне ықтимал әсерін талдай отырып,  республикалық маңызы бар қалаларды қоса алғанда, экономиканың негізгі салалары және Қазақстан өңірлері үшін климаттық тәуекелдер мен осалдықтарға кешенді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АШМ, ЭТРМ ОШЖДК, ДСМ, ӨҚМ, ҒЖБМ, СРИМ, ТЖМ,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бюджеттік жоспарлау кезінде климаттық тәуекелдерді есепке алу және бейімдеу жөніндегі тетіктер мен стандартты рәсімдерді, кейіннен мемлекеттік жоспарлау жүйесінің құжаттарын өзектілендіре отырып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АШМ, СРИМ, ТЖМ,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облыстар мен республикалық маңызы бар қалалар үшін климаттың өзгеруіне бейімделу жөніндегі іс-қимыл жоспарларын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ЭТРМ, АШМ, СРИМ,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сарапшыларды (мемлекеттік және мемлекеттік емес) климаттық тәуекелдерге бағалау жүргізу және бейімделу шараларын жоспарлау әдістемелеріне оқыту бағдарламаларын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 ДСМ, АШМ, Еңбекмині,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Климаттың өзгеруінің әсерін азайту үшін ғимараттарды, көлік және энергетикалық инфрақұрылымды бейімдеу: энергия тиімділігін арттыру, суды тиімді пайдалану және экстремалдық табиғи жағдайлардан қорғауды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2026-2060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өзгеруін ескере отырып, қала құрылысы, аймақтарға бөлу және көгалдандыру қағидаларын жаңарту және іске асыру, қала инфрақұрылымының орнықтылығын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Жайық, Сырдария және Іле өзендері жайылмаларындағы су жинау алаңдарында екпелер отырғызу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өзгеруінің (жылу стресі және экстремалды ауа райы құбылыстары) еңбек жағдайларына теріс әсерін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зілзалалар салдарын жою жөніндегі жоспарларды климаттың өзгеруіне бейімделудің жаңа тәуекелдері мен шараларын ескере отырып бейімдеу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шешімдер мен мониторинг технологияларын ендіруді қоса алғанда, неғұрлым осал түрлер мен табиғи процестерді айқындай отырып, климаттың өзгеруінің экожүйелер мен биоәртүрлілікке әсерін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 жағдайында қорғалатын табиғи аумақтар мен жабайы жануарлардың миграциясы дәліздерінің тиімді жүйесін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көшу және жұмыс орындарын құру" 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Көміртегін қажет ететін секторларда еңбек нарығындағы ағымдағы жай-күйге және "жасыл" секторларда жаңа жұмыс орындарын құру әлеуетіне талдау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ЭТРМ,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және білім беру" 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салалардағы парниктік газдардың шығарындыларын азайтуға энергия тиімділігінің әсері бойынша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 ЭМ,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Климаттың өзгеруі мәселелерін орта, арнайы орта және жоғары білім берудің оқу бағдарламаларына даярлау деңгейлері бойынша мазмұнды бейімдеп, сондай-ақ әдістемелік материалдарды дайындау мен  оқытушыларды оқыта отырып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сананың өзгеруі" 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өңірлерінде климаттық саясат, көміртегі бейтараптығы, экология және орнықты даму мәселелері бойынша жыл сайынғы ұлттық форумдарды, іскерлік және мәдени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жылдан бастап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құрылымдар, өнеркәсіптік кәсіпорындар қызметкерлері, бизнес өкілдері және басқа да мүдделі тараптар үшін климаттың өзгеруі, көміртегінің ізін азайту және климаттың өзгеруіне бейімделу мәселелері бойынша оқыту вебинарларын, онлайн курстар мен семинарлар сериясын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жылдан бастап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ЭМ, ӨҚМ,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климаттың өзгеруі мен көміртегі бейтараптығы мәселелері бойынша қоғамдық консультациялар мен диалогтар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2026-2040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тұтыну жөніндегі компоненттерді қосып (экологиялық таза өнімдерді, экологиялық таңбаланған тауарларды, бірнеше рет және ұзақ мерзімді пайдалануға арналған бұйымдарды таңдау), сондай-ақ қолжетімді ақпараттық  материалдарды және буклеттерді кеңінен тарата отырып, қалдықтарды бөлек жинауды, оларды қайта өңдеуді және көміртегі ізін азайтуды халыққа кеңінен тарату үшін ұлттық ақпараттық-білім беру науқанын әзірлеу және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науқан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БҰҰДБ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Көміртегінің ізін азайту және климаттың өзгеруі жөнінде ақпарат пен ұсынымдар бар интерактивті веб-сайт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арқылы жұртшылықты көміртегі бейтараптығына қол жеткізу жөніндегі жоспардың тармақтарының іске асырылуы туралы  үнемі хабардар етіп тұру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жарияланымдар мен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жылдан бастап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арасында климаттың өзгеруі және көміртегі бейтараптығына қол жеткізу шаралары туралы хабардар болу деңгейін бағалау үшін жыл сайын сауалнама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жылдан бастап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көміртегінің ізін азайтуға байланысты экологиялық бастамаларға белсенді қатысқаны үшін көтермелеуге бағытталған бағдарламаларды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жылдан бастап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МАМ, ҮЕҰ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реттеу жүйесі" 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жоспарлау жүйесінің құжаттарын Қазақстан Республикасының көміртегі бейтараптығына қол жеткізуінің 2060 жылға дейінгі стратегиясының ережелеріне, сондай-ақ климаттың өзгеруіне жаһандық ден қоюға Қазақстан Республикасының ұлттық үлесінің ережелеріне сәйкес келтіру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ЭТРМ, АШМ,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экономика секторларында өнім бірлігіне шаққандағы парниктік газдар шығарындыларының үлестік көрсеткіштерін кезең-кезеңімен төмендету жолымен қолданыстағы бенчмарктерді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көміртегі квоталарын аукциондауды бөлінетін квоталарға қолдана отырып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секторларда көміртегі салығын енгізу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есепке алудың, азайтудың және сіңірудің автоматты жүйелерін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2030-2035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келісімінің 6-бабын іске асыру шеңберінде міндетті және ерікті нарықты ұсынудың нақты құрылымы бар көміртегі нарығының экожүйесін құра отырып, оңтайлы көміртекті реттеу тетіктерін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халықаралық және ерікті көміртегі нарықтары үшін көміртегі бірліктерін шығара отырып, парниктік газдар шығарындыларын азайту және сіңіру бойынша жобаларды іске асыру, оның ішінде көміртегі шаруашылығы, тұрақты жайылымдық пайдалану, орман өсіру, қалдықтарды қайта өңдеу және энергия тиімділігін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Нарықтағы көміртегі квоталарының санын оларды резервке алып қою және қажет болған жағдайда қайтару жолымен реттеу тетігін құру (Market stability reserve)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 өнім түрлері, орнықты дамыту жөніндегі есептілік бойынша өнімнің көміртегі ізін сандық есепке алу және басқару бойынша халықаралық стандарттарға немесе басшылыққа алынатын құжаттарға талдау жүргізу және ұлттық стандарттар мен басшылыққа алынатын құжаттар ретінде бейімдеу жөнінде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бейтараптығына қол жеткізудің өңірлік стратегияларын әзірлеу (төмен көміртекті шешімдерді енгізу үшін әр өңірдің бірегей сипаттамаларын ескере отырып, егжей-тегжейлі жоспарлар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ҰЭМ,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көздерін (бюджеттік, жеке, халықаралық) жіктеуді, тарифтік саясат бойынша ұсыныстарды қоса алғанда, көміртегі бейтараптығына көшуді қаржыландырудың стратегиялық пайымын әзірлеу, сондай-ақ салалар мен көміртексіздендіру кезеңдеріне байланысты қаржыландырудың әртүрлі тетіктерін кезең-кезеңімен тарту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ҰЭМ, 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 қорын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ШСЖ қатысушыларын кеңінен қамту мәселесін, атап айтқанда, қаржы мекемелері мен қаржы брокерлерін "көміртегі нарығына қатысушылар" анықтамасына қосу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Жобалардың таксономия шекті мәндеріне сәйкестігін жылдам әрі аз шығынды верификациялау механизмін көздеу ("жасыл" жобаларды жіктеу)</w:t>
            </w:r>
          </w:p>
          <w:bookmarkEnd w:id="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АХҚО (келісу бойынша), ХЖТИЖО (келісу бойынша), ҰБ (келісу бойынша), "Даму" КДҚ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Компаниялардың жылдық есептері шеңберінде 2027 жылдан бастап ерікті қаржылық емес және 2028 жылдан бастап міндетті климаттық есептілікті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АШМ,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жобаларды мемлекеттік қолдау" 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пен кәсіпкерлікті қолдаудың мемлекеттік бағдарламалары шеңберінде жобаларды іріктеу үшін қолданылуға тиіс қолданыстағы цифрлық платформаларға/процестерге көміртегінің ізін төмендетудің міндетті өлшемшарттарын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инфрақұрылымын стандарттаудың ұлттық жүйесін дамыту: ішкі нарықтың ашықтығын, ұлттық СТВ-ға кірігуді, экспортталатын өнімге қойылатын халықаралық талаптарға сәйкестікті және инвестициялар тартуды қамтамасыз ету үшін қауіпсіздікке, ресурс тиімділігіне, шығу тегін сертификаттауға және көміртегі ізін есепке алуға қойылатын халықаралық талаптармен үйлестіру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бекітілген ұлттық стандарттар</w:t>
            </w:r>
          </w:p>
          <w:bookmarkEnd w:id="8"/>
          <w:p>
            <w:pPr>
              <w:spacing w:after="20"/>
              <w:ind w:left="20"/>
              <w:jc w:val="both"/>
            </w:pPr>
            <w:r>
              <w:rPr>
                <w:rFonts w:ascii="Times New Roman"/>
                <w:b w:val="false"/>
                <w:i w:val="false"/>
                <w:color w:val="000000"/>
                <w:sz w:val="20"/>
              </w:rPr>
              <w:t>
(ҚР 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СИМ,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 талаптарына сәйкес келген жағдайда сутегі технологияларын ең үздік қолжетімді техникалар жөніндегі анықтамалықтарға және "жасыл" технологиялар тізіліміне енгізу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7" w:id="9"/>
    <w:p>
      <w:pPr>
        <w:spacing w:after="0"/>
        <w:ind w:left="0"/>
        <w:jc w:val="both"/>
      </w:pPr>
      <w:r>
        <w:rPr>
          <w:rFonts w:ascii="Times New Roman"/>
          <w:b w:val="false"/>
          <w:i w:val="false"/>
          <w:color w:val="000000"/>
          <w:sz w:val="28"/>
        </w:rPr>
        <w:t>
      Ескертпе: аббревиатуралардың толық жазылуы:</w:t>
      </w:r>
    </w:p>
    <w:bookmarkEnd w:id="9"/>
    <w:bookmarkStart w:name="z18" w:id="10"/>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10"/>
    <w:bookmarkStart w:name="z19" w:id="11"/>
    <w:p>
      <w:pPr>
        <w:spacing w:after="0"/>
        <w:ind w:left="0"/>
        <w:jc w:val="both"/>
      </w:pPr>
      <w:r>
        <w:rPr>
          <w:rFonts w:ascii="Times New Roman"/>
          <w:b w:val="false"/>
          <w:i w:val="false"/>
          <w:color w:val="000000"/>
          <w:sz w:val="28"/>
        </w:rPr>
        <w:t>
      БҚДА – Бәсекелестікті қорғау және дамыту агенттігі</w:t>
      </w:r>
    </w:p>
    <w:bookmarkEnd w:id="11"/>
    <w:bookmarkStart w:name="z20" w:id="12"/>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12"/>
    <w:bookmarkStart w:name="z21" w:id="13"/>
    <w:p>
      <w:pPr>
        <w:spacing w:after="0"/>
        <w:ind w:left="0"/>
        <w:jc w:val="both"/>
      </w:pPr>
      <w:r>
        <w:rPr>
          <w:rFonts w:ascii="Times New Roman"/>
          <w:b w:val="false"/>
          <w:i w:val="false"/>
          <w:color w:val="000000"/>
          <w:sz w:val="28"/>
        </w:rPr>
        <w:t xml:space="preserve">
      ДСМ – Қазақстан Республикасының Денсаулық сақтау министрлігі </w:t>
      </w:r>
    </w:p>
    <w:bookmarkEnd w:id="13"/>
    <w:bookmarkStart w:name="z22" w:id="14"/>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14"/>
    <w:bookmarkStart w:name="z23" w:id="15"/>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15"/>
    <w:bookmarkStart w:name="z24" w:id="16"/>
    <w:p>
      <w:pPr>
        <w:spacing w:after="0"/>
        <w:ind w:left="0"/>
        <w:jc w:val="both"/>
      </w:pPr>
      <w:r>
        <w:rPr>
          <w:rFonts w:ascii="Times New Roman"/>
          <w:b w:val="false"/>
          <w:i w:val="false"/>
          <w:color w:val="000000"/>
          <w:sz w:val="28"/>
        </w:rPr>
        <w:t>
      КМ – Қазақстан Республикасының Көлік министрлігі</w:t>
      </w:r>
    </w:p>
    <w:bookmarkEnd w:id="16"/>
    <w:bookmarkStart w:name="z25" w:id="17"/>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17"/>
    <w:bookmarkStart w:name="z26" w:id="18"/>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18"/>
    <w:bookmarkStart w:name="z27" w:id="19"/>
    <w:p>
      <w:pPr>
        <w:spacing w:after="0"/>
        <w:ind w:left="0"/>
        <w:jc w:val="both"/>
      </w:pPr>
      <w:r>
        <w:rPr>
          <w:rFonts w:ascii="Times New Roman"/>
          <w:b w:val="false"/>
          <w:i w:val="false"/>
          <w:color w:val="000000"/>
          <w:sz w:val="28"/>
        </w:rPr>
        <w:t>
      ОАМ – Қазақстан Республикасының Оқу-ағарту министрлігі</w:t>
      </w:r>
    </w:p>
    <w:bookmarkEnd w:id="19"/>
    <w:bookmarkStart w:name="z28" w:id="20"/>
    <w:p>
      <w:pPr>
        <w:spacing w:after="0"/>
        <w:ind w:left="0"/>
        <w:jc w:val="both"/>
      </w:pPr>
      <w:r>
        <w:rPr>
          <w:rFonts w:ascii="Times New Roman"/>
          <w:b w:val="false"/>
          <w:i w:val="false"/>
          <w:color w:val="000000"/>
          <w:sz w:val="28"/>
        </w:rPr>
        <w:t>
      ОШЖДК – Орман шаруашылығы және жануарлар дүниесі комитеті</w:t>
      </w:r>
    </w:p>
    <w:bookmarkEnd w:id="20"/>
    <w:bookmarkStart w:name="z29" w:id="21"/>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21"/>
    <w:bookmarkStart w:name="z30" w:id="22"/>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22"/>
    <w:bookmarkStart w:name="z31" w:id="23"/>
    <w:p>
      <w:pPr>
        <w:spacing w:after="0"/>
        <w:ind w:left="0"/>
        <w:jc w:val="both"/>
      </w:pPr>
      <w:r>
        <w:rPr>
          <w:rFonts w:ascii="Times New Roman"/>
          <w:b w:val="false"/>
          <w:i w:val="false"/>
          <w:color w:val="000000"/>
          <w:sz w:val="28"/>
        </w:rPr>
        <w:t>
      СРИМ – Қазақстан Республикасының Су ресурстары және ирригация министрлігі</w:t>
      </w:r>
    </w:p>
    <w:bookmarkEnd w:id="23"/>
    <w:bookmarkStart w:name="z32" w:id="24"/>
    <w:p>
      <w:pPr>
        <w:spacing w:after="0"/>
        <w:ind w:left="0"/>
        <w:jc w:val="both"/>
      </w:pPr>
      <w:r>
        <w:rPr>
          <w:rFonts w:ascii="Times New Roman"/>
          <w:b w:val="false"/>
          <w:i w:val="false"/>
          <w:color w:val="000000"/>
          <w:sz w:val="28"/>
        </w:rPr>
        <w:t xml:space="preserve">
      ТЖМ – Қазақстан Республикасының Төтенше жағдайлар министрлігі </w:t>
      </w:r>
    </w:p>
    <w:bookmarkEnd w:id="24"/>
    <w:bookmarkStart w:name="z33" w:id="25"/>
    <w:p>
      <w:pPr>
        <w:spacing w:after="0"/>
        <w:ind w:left="0"/>
        <w:jc w:val="both"/>
      </w:pPr>
      <w:r>
        <w:rPr>
          <w:rFonts w:ascii="Times New Roman"/>
          <w:b w:val="false"/>
          <w:i w:val="false"/>
          <w:color w:val="000000"/>
          <w:sz w:val="28"/>
        </w:rPr>
        <w:t xml:space="preserve">
      ТРМК – Қазақстан Республикасы Сауда және интеграция министрлігінің Техникалық реттеу және метрология комитеті </w:t>
      </w:r>
    </w:p>
    <w:bookmarkEnd w:id="25"/>
    <w:bookmarkStart w:name="z34" w:id="26"/>
    <w:p>
      <w:pPr>
        <w:spacing w:after="0"/>
        <w:ind w:left="0"/>
        <w:jc w:val="both"/>
      </w:pPr>
      <w:r>
        <w:rPr>
          <w:rFonts w:ascii="Times New Roman"/>
          <w:b w:val="false"/>
          <w:i w:val="false"/>
          <w:color w:val="000000"/>
          <w:sz w:val="28"/>
        </w:rPr>
        <w:t>
      ҰСБ – Қазақстан Республикасы Стратегиялық жоспарлау және реформалар агенттігінің Ұлттық статистика бюросы</w:t>
      </w:r>
    </w:p>
    <w:bookmarkEnd w:id="26"/>
    <w:bookmarkStart w:name="z35" w:id="27"/>
    <w:p>
      <w:pPr>
        <w:spacing w:after="0"/>
        <w:ind w:left="0"/>
        <w:jc w:val="both"/>
      </w:pPr>
      <w:r>
        <w:rPr>
          <w:rFonts w:ascii="Times New Roman"/>
          <w:b w:val="false"/>
          <w:i w:val="false"/>
          <w:color w:val="000000"/>
          <w:sz w:val="28"/>
        </w:rPr>
        <w:t>
      ҰБ – Қазақстан Республикасы Ұлттық Банкі</w:t>
      </w:r>
    </w:p>
    <w:bookmarkEnd w:id="27"/>
    <w:bookmarkStart w:name="z36" w:id="28"/>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28"/>
    <w:bookmarkStart w:name="z37" w:id="29"/>
    <w:p>
      <w:pPr>
        <w:spacing w:after="0"/>
        <w:ind w:left="0"/>
        <w:jc w:val="both"/>
      </w:pPr>
      <w:r>
        <w:rPr>
          <w:rFonts w:ascii="Times New Roman"/>
          <w:b w:val="false"/>
          <w:i w:val="false"/>
          <w:color w:val="000000"/>
          <w:sz w:val="28"/>
        </w:rPr>
        <w:t>
      ЭМ – Қазақстан Республикасының Энергетика министрлігі</w:t>
      </w:r>
    </w:p>
    <w:bookmarkEnd w:id="29"/>
    <w:bookmarkStart w:name="z38" w:id="30"/>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30"/>
    <w:bookmarkStart w:name="z39" w:id="31"/>
    <w:p>
      <w:pPr>
        <w:spacing w:after="0"/>
        <w:ind w:left="0"/>
        <w:jc w:val="both"/>
      </w:pPr>
      <w:r>
        <w:rPr>
          <w:rFonts w:ascii="Times New Roman"/>
          <w:b w:val="false"/>
          <w:i w:val="false"/>
          <w:color w:val="000000"/>
          <w:sz w:val="28"/>
        </w:rPr>
        <w:t>
      "Атамекен" ҰКП – Қазақстан Республикасының "Атамекен" ұлттық кәсіпкерлер палатасы</w:t>
      </w:r>
    </w:p>
    <w:bookmarkEnd w:id="31"/>
    <w:bookmarkStart w:name="z40" w:id="32"/>
    <w:p>
      <w:pPr>
        <w:spacing w:after="0"/>
        <w:ind w:left="0"/>
        <w:jc w:val="both"/>
      </w:pPr>
      <w:r>
        <w:rPr>
          <w:rFonts w:ascii="Times New Roman"/>
          <w:b w:val="false"/>
          <w:i w:val="false"/>
          <w:color w:val="000000"/>
          <w:sz w:val="28"/>
        </w:rPr>
        <w:t>
      АХҚО –  "Астана" халықаралық қаржы орталығы</w:t>
      </w:r>
    </w:p>
    <w:bookmarkEnd w:id="32"/>
    <w:bookmarkStart w:name="z41" w:id="33"/>
    <w:p>
      <w:pPr>
        <w:spacing w:after="0"/>
        <w:ind w:left="0"/>
        <w:jc w:val="both"/>
      </w:pPr>
      <w:r>
        <w:rPr>
          <w:rFonts w:ascii="Times New Roman"/>
          <w:b w:val="false"/>
          <w:i w:val="false"/>
          <w:color w:val="000000"/>
          <w:sz w:val="28"/>
        </w:rPr>
        <w:t>
      БҰҰ ДБ – БҰҰ Даму бағдарламасы</w:t>
      </w:r>
    </w:p>
    <w:bookmarkEnd w:id="33"/>
    <w:bookmarkStart w:name="z42" w:id="34"/>
    <w:p>
      <w:pPr>
        <w:spacing w:after="0"/>
        <w:ind w:left="0"/>
        <w:jc w:val="both"/>
      </w:pPr>
      <w:r>
        <w:rPr>
          <w:rFonts w:ascii="Times New Roman"/>
          <w:b w:val="false"/>
          <w:i w:val="false"/>
          <w:color w:val="000000"/>
          <w:sz w:val="28"/>
        </w:rPr>
        <w:t>
      "Даму" КДҚ – "Даму" кәсіпкерлікті дамыту қоры</w:t>
      </w:r>
    </w:p>
    <w:bookmarkEnd w:id="34"/>
    <w:bookmarkStart w:name="z43" w:id="35"/>
    <w:p>
      <w:pPr>
        <w:spacing w:after="0"/>
        <w:ind w:left="0"/>
        <w:jc w:val="both"/>
      </w:pPr>
      <w:r>
        <w:rPr>
          <w:rFonts w:ascii="Times New Roman"/>
          <w:b w:val="false"/>
          <w:i w:val="false"/>
          <w:color w:val="000000"/>
          <w:sz w:val="28"/>
        </w:rPr>
        <w:t>
      ҰАҒБО – Ұлттық аграрлық ғылыми-білім беру орталығы</w:t>
      </w:r>
    </w:p>
    <w:bookmarkEnd w:id="35"/>
    <w:bookmarkStart w:name="z44" w:id="36"/>
    <w:p>
      <w:pPr>
        <w:spacing w:after="0"/>
        <w:ind w:left="0"/>
        <w:jc w:val="both"/>
      </w:pPr>
      <w:r>
        <w:rPr>
          <w:rFonts w:ascii="Times New Roman"/>
          <w:b w:val="false"/>
          <w:i w:val="false"/>
          <w:color w:val="000000"/>
          <w:sz w:val="28"/>
        </w:rPr>
        <w:t>
      ҰЭҮО – Ұлттық энергия үнемдеу орталығы</w:t>
      </w:r>
    </w:p>
    <w:bookmarkEnd w:id="36"/>
    <w:bookmarkStart w:name="z45" w:id="37"/>
    <w:p>
      <w:pPr>
        <w:spacing w:after="0"/>
        <w:ind w:left="0"/>
        <w:jc w:val="both"/>
      </w:pPr>
      <w:r>
        <w:rPr>
          <w:rFonts w:ascii="Times New Roman"/>
          <w:b w:val="false"/>
          <w:i w:val="false"/>
          <w:color w:val="000000"/>
          <w:sz w:val="28"/>
        </w:rPr>
        <w:t>
      ХЖТИЖО – Халықаралық жасыл технологиялар және инвестициялық жобалар орталығы</w:t>
      </w:r>
    </w:p>
    <w:bookmarkEnd w:id="37"/>
    <w:bookmarkStart w:name="z46" w:id="38"/>
    <w:p>
      <w:pPr>
        <w:spacing w:after="0"/>
        <w:ind w:left="0"/>
        <w:jc w:val="both"/>
      </w:pPr>
      <w:r>
        <w:rPr>
          <w:rFonts w:ascii="Times New Roman"/>
          <w:b w:val="false"/>
          <w:i w:val="false"/>
          <w:color w:val="000000"/>
          <w:sz w:val="28"/>
        </w:rPr>
        <w:t>
      АҚ – акционерлік қоғам</w:t>
      </w:r>
    </w:p>
    <w:bookmarkEnd w:id="38"/>
    <w:bookmarkStart w:name="z47" w:id="39"/>
    <w:p>
      <w:pPr>
        <w:spacing w:after="0"/>
        <w:ind w:left="0"/>
        <w:jc w:val="both"/>
      </w:pPr>
      <w:r>
        <w:rPr>
          <w:rFonts w:ascii="Times New Roman"/>
          <w:b w:val="false"/>
          <w:i w:val="false"/>
          <w:color w:val="000000"/>
          <w:sz w:val="28"/>
        </w:rPr>
        <w:t>
      БАҚ – бұқаралық ақпарат құралдары</w:t>
      </w:r>
    </w:p>
    <w:bookmarkEnd w:id="39"/>
    <w:bookmarkStart w:name="z48" w:id="40"/>
    <w:p>
      <w:pPr>
        <w:spacing w:after="0"/>
        <w:ind w:left="0"/>
        <w:jc w:val="both"/>
      </w:pPr>
      <w:r>
        <w:rPr>
          <w:rFonts w:ascii="Times New Roman"/>
          <w:b w:val="false"/>
          <w:i w:val="false"/>
          <w:color w:val="000000"/>
          <w:sz w:val="28"/>
        </w:rPr>
        <w:t>
      ЖАО – жергілікті атқарушы органдар</w:t>
      </w:r>
    </w:p>
    <w:bookmarkEnd w:id="40"/>
    <w:bookmarkStart w:name="z49" w:id="41"/>
    <w:p>
      <w:pPr>
        <w:spacing w:after="0"/>
        <w:ind w:left="0"/>
        <w:jc w:val="both"/>
      </w:pPr>
      <w:r>
        <w:rPr>
          <w:rFonts w:ascii="Times New Roman"/>
          <w:b w:val="false"/>
          <w:i w:val="false"/>
          <w:color w:val="000000"/>
          <w:sz w:val="28"/>
        </w:rPr>
        <w:t xml:space="preserve">
      ЖӨӨ – жалпы өңірлік өнім      </w:t>
      </w:r>
    </w:p>
    <w:bookmarkEnd w:id="41"/>
    <w:bookmarkStart w:name="z50" w:id="42"/>
    <w:p>
      <w:pPr>
        <w:spacing w:after="0"/>
        <w:ind w:left="0"/>
        <w:jc w:val="both"/>
      </w:pPr>
      <w:r>
        <w:rPr>
          <w:rFonts w:ascii="Times New Roman"/>
          <w:b w:val="false"/>
          <w:i w:val="false"/>
          <w:color w:val="000000"/>
          <w:sz w:val="28"/>
        </w:rPr>
        <w:t xml:space="preserve">
      ЖТҚ – жеке тұрғын үй құрылысы      </w:t>
      </w:r>
    </w:p>
    <w:bookmarkEnd w:id="42"/>
    <w:bookmarkStart w:name="z51" w:id="43"/>
    <w:p>
      <w:pPr>
        <w:spacing w:after="0"/>
        <w:ind w:left="0"/>
        <w:jc w:val="both"/>
      </w:pPr>
      <w:r>
        <w:rPr>
          <w:rFonts w:ascii="Times New Roman"/>
          <w:b w:val="false"/>
          <w:i w:val="false"/>
          <w:color w:val="000000"/>
          <w:sz w:val="28"/>
        </w:rPr>
        <w:t>
      ЖІӨ – жалпы ішкі өнім</w:t>
      </w:r>
    </w:p>
    <w:bookmarkEnd w:id="43"/>
    <w:bookmarkStart w:name="z52" w:id="44"/>
    <w:p>
      <w:pPr>
        <w:spacing w:after="0"/>
        <w:ind w:left="0"/>
        <w:jc w:val="both"/>
      </w:pPr>
      <w:r>
        <w:rPr>
          <w:rFonts w:ascii="Times New Roman"/>
          <w:b w:val="false"/>
          <w:i w:val="false"/>
          <w:color w:val="000000"/>
          <w:sz w:val="28"/>
        </w:rPr>
        <w:t>
      ЖЭК – жаңартылатын энергия көздері</w:t>
      </w:r>
    </w:p>
    <w:bookmarkEnd w:id="44"/>
    <w:bookmarkStart w:name="z53" w:id="45"/>
    <w:p>
      <w:pPr>
        <w:spacing w:after="0"/>
        <w:ind w:left="0"/>
        <w:jc w:val="both"/>
      </w:pPr>
      <w:r>
        <w:rPr>
          <w:rFonts w:ascii="Times New Roman"/>
          <w:b w:val="false"/>
          <w:i w:val="false"/>
          <w:color w:val="000000"/>
          <w:sz w:val="28"/>
        </w:rPr>
        <w:t>
      КТҮ – көппәтерлі тұрғын үй</w:t>
      </w:r>
    </w:p>
    <w:bookmarkEnd w:id="45"/>
    <w:bookmarkStart w:name="z54" w:id="46"/>
    <w:p>
      <w:pPr>
        <w:spacing w:after="0"/>
        <w:ind w:left="0"/>
        <w:jc w:val="both"/>
      </w:pPr>
      <w:r>
        <w:rPr>
          <w:rFonts w:ascii="Times New Roman"/>
          <w:b w:val="false"/>
          <w:i w:val="false"/>
          <w:color w:val="000000"/>
          <w:sz w:val="28"/>
        </w:rPr>
        <w:t>
      КҰС – көміртекті ұстау және сақтау</w:t>
      </w:r>
    </w:p>
    <w:bookmarkEnd w:id="46"/>
    <w:bookmarkStart w:name="z55" w:id="47"/>
    <w:p>
      <w:pPr>
        <w:spacing w:after="0"/>
        <w:ind w:left="0"/>
        <w:jc w:val="both"/>
      </w:pPr>
      <w:r>
        <w:rPr>
          <w:rFonts w:ascii="Times New Roman"/>
          <w:b w:val="false"/>
          <w:i w:val="false"/>
          <w:color w:val="000000"/>
          <w:sz w:val="28"/>
        </w:rPr>
        <w:t>
      КЭР – кешенді экологиялық рұқсат</w:t>
      </w:r>
    </w:p>
    <w:bookmarkEnd w:id="47"/>
    <w:bookmarkStart w:name="z56" w:id="48"/>
    <w:p>
      <w:pPr>
        <w:spacing w:after="0"/>
        <w:ind w:left="0"/>
        <w:jc w:val="both"/>
      </w:pPr>
      <w:r>
        <w:rPr>
          <w:rFonts w:ascii="Times New Roman"/>
          <w:b w:val="false"/>
          <w:i w:val="false"/>
          <w:color w:val="000000"/>
          <w:sz w:val="28"/>
        </w:rPr>
        <w:t>
      МЖӘ – мемлекеттік-жекешелік әріптестік</w:t>
      </w:r>
    </w:p>
    <w:bookmarkEnd w:id="48"/>
    <w:bookmarkStart w:name="z57" w:id="49"/>
    <w:p>
      <w:pPr>
        <w:spacing w:after="0"/>
        <w:ind w:left="0"/>
        <w:jc w:val="both"/>
      </w:pPr>
      <w:r>
        <w:rPr>
          <w:rFonts w:ascii="Times New Roman"/>
          <w:b w:val="false"/>
          <w:i w:val="false"/>
          <w:color w:val="000000"/>
          <w:sz w:val="28"/>
        </w:rPr>
        <w:t>
      ТКШ – тұрғын үй-коммуналдық шаруашылық</w:t>
      </w:r>
    </w:p>
    <w:bookmarkEnd w:id="49"/>
    <w:bookmarkStart w:name="z58" w:id="50"/>
    <w:p>
      <w:pPr>
        <w:spacing w:after="0"/>
        <w:ind w:left="0"/>
        <w:jc w:val="both"/>
      </w:pPr>
      <w:r>
        <w:rPr>
          <w:rFonts w:ascii="Times New Roman"/>
          <w:b w:val="false"/>
          <w:i w:val="false"/>
          <w:color w:val="000000"/>
          <w:sz w:val="28"/>
        </w:rPr>
        <w:t>
      ҮЕҰ – үкіметтік емес ұйым</w:t>
      </w:r>
    </w:p>
    <w:bookmarkEnd w:id="50"/>
    <w:bookmarkStart w:name="z59" w:id="51"/>
    <w:p>
      <w:pPr>
        <w:spacing w:after="0"/>
        <w:ind w:left="0"/>
        <w:jc w:val="both"/>
      </w:pPr>
      <w:r>
        <w:rPr>
          <w:rFonts w:ascii="Times New Roman"/>
          <w:b w:val="false"/>
          <w:i w:val="false"/>
          <w:color w:val="000000"/>
          <w:sz w:val="28"/>
        </w:rPr>
        <w:t>
      ҮҚТ – үздік қолжетімді техникалар</w:t>
      </w:r>
    </w:p>
    <w:bookmarkEnd w:id="51"/>
    <w:bookmarkStart w:name="z60" w:id="52"/>
    <w:p>
      <w:pPr>
        <w:spacing w:after="0"/>
        <w:ind w:left="0"/>
        <w:jc w:val="both"/>
      </w:pPr>
      <w:r>
        <w:rPr>
          <w:rFonts w:ascii="Times New Roman"/>
          <w:b w:val="false"/>
          <w:i w:val="false"/>
          <w:color w:val="000000"/>
          <w:sz w:val="28"/>
        </w:rPr>
        <w:t>
      ШСЖ – шығарындылармен сауда жасау жүйесі</w:t>
      </w:r>
    </w:p>
    <w:bookmarkEnd w:id="52"/>
    <w:bookmarkStart w:name="z61" w:id="53"/>
    <w:p>
      <w:pPr>
        <w:spacing w:after="0"/>
        <w:ind w:left="0"/>
        <w:jc w:val="both"/>
      </w:pPr>
      <w:r>
        <w:rPr>
          <w:rFonts w:ascii="Times New Roman"/>
          <w:b w:val="false"/>
          <w:i w:val="false"/>
          <w:color w:val="000000"/>
          <w:sz w:val="28"/>
        </w:rPr>
        <w:t>
      ЫСЖ – ыстық сумен жабдықтау</w:t>
      </w:r>
    </w:p>
    <w:bookmarkEnd w:id="53"/>
    <w:bookmarkStart w:name="z62" w:id="54"/>
    <w:p>
      <w:pPr>
        <w:spacing w:after="0"/>
        <w:ind w:left="0"/>
        <w:jc w:val="both"/>
      </w:pPr>
      <w:r>
        <w:rPr>
          <w:rFonts w:ascii="Times New Roman"/>
          <w:b w:val="false"/>
          <w:i w:val="false"/>
          <w:color w:val="000000"/>
          <w:sz w:val="28"/>
        </w:rPr>
        <w:t>
      ІҚМ – ірі қара мал</w:t>
      </w:r>
    </w:p>
    <w:bookmarkEnd w:id="54"/>
    <w:bookmarkStart w:name="z63" w:id="55"/>
    <w:p>
      <w:pPr>
        <w:spacing w:after="0"/>
        <w:ind w:left="0"/>
        <w:jc w:val="both"/>
      </w:pPr>
      <w:r>
        <w:rPr>
          <w:rFonts w:ascii="Times New Roman"/>
          <w:b w:val="false"/>
          <w:i w:val="false"/>
          <w:color w:val="000000"/>
          <w:sz w:val="28"/>
        </w:rPr>
        <w:t xml:space="preserve">
      ЭСКО – энергосервистік компания      </w:t>
      </w:r>
    </w:p>
    <w:bookmarkEnd w:id="55"/>
    <w:bookmarkStart w:name="z64" w:id="56"/>
    <w:p>
      <w:pPr>
        <w:spacing w:after="0"/>
        <w:ind w:left="0"/>
        <w:jc w:val="both"/>
      </w:pPr>
      <w:r>
        <w:rPr>
          <w:rFonts w:ascii="Times New Roman"/>
          <w:b w:val="false"/>
          <w:i w:val="false"/>
          <w:color w:val="000000"/>
          <w:sz w:val="28"/>
        </w:rPr>
        <w:t>
      GHG protocol – Greenhouse Gas Protocol (парниктік газдар шығарындыларын есепке алу және есеп берудің халықаралық стандарты)</w:t>
      </w:r>
    </w:p>
    <w:bookmarkEnd w:id="56"/>
    <w:bookmarkStart w:name="z65" w:id="57"/>
    <w:p>
      <w:pPr>
        <w:spacing w:after="0"/>
        <w:ind w:left="0"/>
        <w:jc w:val="both"/>
      </w:pPr>
      <w:r>
        <w:rPr>
          <w:rFonts w:ascii="Times New Roman"/>
          <w:b w:val="false"/>
          <w:i w:val="false"/>
          <w:color w:val="000000"/>
          <w:sz w:val="28"/>
        </w:rPr>
        <w:t>
      GRI report – Global Reporting Initiative (тұрақты даму бойынша есеп беру стандарты</w:t>
      </w:r>
    </w:p>
    <w:bookmarkEnd w:id="57"/>
    <w:bookmarkStart w:name="z66" w:id="58"/>
    <w:p>
      <w:pPr>
        <w:spacing w:after="0"/>
        <w:ind w:left="0"/>
        <w:jc w:val="both"/>
      </w:pPr>
      <w:r>
        <w:rPr>
          <w:rFonts w:ascii="Times New Roman"/>
          <w:b w:val="false"/>
          <w:i w:val="false"/>
          <w:color w:val="000000"/>
          <w:sz w:val="28"/>
        </w:rPr>
        <w:t>
      JCM – Joint Crediting Mechanism (бірлескен кредиттік тетік)</w:t>
      </w:r>
    </w:p>
    <w:bookmarkEnd w:id="58"/>
    <w:bookmarkStart w:name="z67" w:id="59"/>
    <w:p>
      <w:pPr>
        <w:spacing w:after="0"/>
        <w:ind w:left="0"/>
        <w:jc w:val="both"/>
      </w:pPr>
      <w:r>
        <w:rPr>
          <w:rFonts w:ascii="Times New Roman"/>
          <w:b w:val="false"/>
          <w:i w:val="false"/>
          <w:color w:val="000000"/>
          <w:sz w:val="28"/>
        </w:rPr>
        <w:t xml:space="preserve">
      "KAZENERGY" қауымдастығы ЗТБ - "KAZENERGY" "Қазақстан мұнай-газ және энергетика кешені ұйымдарының ассоцияциясы" заңды тұлғалар бірлестігі      </w:t>
      </w:r>
    </w:p>
    <w:bookmarkEnd w:id="59"/>
    <w:bookmarkStart w:name="z68" w:id="60"/>
    <w:p>
      <w:pPr>
        <w:spacing w:after="0"/>
        <w:ind w:left="0"/>
        <w:jc w:val="both"/>
      </w:pPr>
      <w:r>
        <w:rPr>
          <w:rFonts w:ascii="Times New Roman"/>
          <w:b w:val="false"/>
          <w:i w:val="false"/>
          <w:color w:val="000000"/>
          <w:sz w:val="28"/>
        </w:rPr>
        <w:t>
      VCM – Voluntary Carbon Market (ерікті көміртегі нарығы)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