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4273" w14:textId="c0a4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орман шаруашылығы, ерекше қорғалатын табиғи аумақтар және жеке кәсіпкерлік субъектілерінің міндеттемелеріне кепілдік беру мәселелері бойынша өзгерістер мен толықтырулар енгізу туралы" 2025 жылғы 26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29 тамыздағы № 142-ө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орман шаруашылығы, ерекше қорғалатын табиғи аумақтар және жеке кәсіпкерлік субъектілерінің міндеттемелеріне кепілдік беру мәселелері бойынша өзгерістер мен толықтырулар енгізу туралы" 2025 жылғы 26 маусымдағы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жинақтап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142-ө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орман шаруашылығы, ерекше қорғалатын табиғи аумақтар және жеке кәсіпкерлік субъектілерінің міндеттемелеріне кепілдік беру мәселелері бойынша өзгерістер мен толықтырулар енгізу туралы"  2025 жылғы 26 маусымдағы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 учаскелерін ұзақ мерзімді пайдалануға беру туралы шарттың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объектілеріне инженерлік инфрақұрылымды (жолдар, көпірлер, электр беру желілері және басқа да коммуникациялар) жобалау, салу және оларға қызмет көрсету үшін ерекше қорғалатын табиғи аумақтардың учаскелерін ұзақ мерзімді пайдалануға беру туралы шарттың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қағидаларын бекіту туралы" Қазақстан Республикасы Үкіметінің 2009 жылғы 17 ақпандағы № 172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істейтін орман шаруашылығы мен ерекше қорғалатын табиғи аумақтар саласындағы азаматтық қызметшілер қатарына жатпайтын жұмыскерлер лауазымдарының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және Қазақстан Республикасы Еңбек және халықты әлеуметтік қорғау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 А.М. Ертаев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мемлекеттік табиғи қорығының аумағында жергілікті халықтың мұқтаждары үшін шөп шабу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банктердің кепілдік қорына төлейтін жарналарының мөлшері мен есептеу тәртібін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 санатынан орман шаруашылығын жүргізуге байланысты емес мақсаттар үшін басқа санаттардағы жерге ауыстыру қағидасын бекіту туралы" Қазақстан Республикасы Ауыл шаруашылығы министрінің 2015 жылғы 28 қаңтардағы № 18-02/45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офсетін мақұлдау және офсеттік бірліктер беру қағидаларын бекіту туралы" Қазақстан Республикасы Экология, геология және табиғи ресурстар министрінің міндетін атқарушының 2021 жылғы 9 қарашадағы № 455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ЭТРМ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 Н.Қ. Шәрбиев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кейбір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