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07247" w14:textId="33072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"Органикалық өнімді өндіру мен оның айналымы туралы" және "Қазақстан Республикасының кейбір заңнамалық актілеріне органикалық өнім өндіру және оның айналымы мәселелері бойынша өзгерістер мен толықтырулар енгізу туралы"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2024 жылғы 18 шілдедегі № 100-ө Өкімі</w:t>
      </w:r>
    </w:p>
    <w:p>
      <w:pPr>
        <w:spacing w:after="0"/>
        <w:ind w:left="0"/>
        <w:jc w:val="both"/>
      </w:pPr>
      <w:bookmarkStart w:name="z1" w:id="0"/>
      <w:r>
        <w:rPr>
          <w:rFonts w:ascii="Times New Roman"/>
          <w:b w:val="false"/>
          <w:i w:val="false"/>
          <w:color w:val="000000"/>
          <w:sz w:val="28"/>
        </w:rPr>
        <w:t xml:space="preserve">
      1. Қоса беріліп отырған қабылдануы Қазақстан Республикасының "Органикалық өнімді өндіру мен оның айналымы туралы" және "Қазақстан Республикасының кейбір заңнамалық актілеріне органикалық өнім өндіру және оның айналымы мәселелері бойынша өзгерістер мен толықтырулар енгізу туралы" заңдарымен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 әзірлеу және қабылдау туралы ақпаратты жалпыға қолжетімді мемлекеттік ақпараттандыру объектісінде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заңдарды іске асыру бойынша ақпаратты талдап, қорытындыласын және айдың 5-і күнінен кешіктірмей жиынтық ақпаратты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2024 жылғы 18 шілдедегі</w:t>
            </w:r>
            <w:r>
              <w:br/>
            </w:r>
            <w:r>
              <w:rPr>
                <w:rFonts w:ascii="Times New Roman"/>
                <w:b w:val="false"/>
                <w:i w:val="false"/>
                <w:color w:val="000000"/>
                <w:sz w:val="20"/>
              </w:rPr>
              <w:t>№ 100-ө өкімімен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Қабылдануы "Органикалық өнім өндірісі және айналымы туралы" және "Қазақстан Республикасының кейбір заңнамалық актілеріне органикалық өнім өндірісі және айналымы мәселелері бойынша өзгерістер мен толықтырулар енгізу туралы" Қазақстан Республикасының заңдарымен негізделген құқықтық актілердің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тұлға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министрлігінiң кейбiр мәселелерi" туралы Қазақстан Республикасы Үкіметінің 2005 жылғы 6 сәуірдегі № 310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w:t>
            </w:r>
          </w:p>
          <w:p>
            <w:pPr>
              <w:spacing w:after="20"/>
              <w:ind w:left="20"/>
              <w:jc w:val="both"/>
            </w:pPr>
            <w:r>
              <w:rPr>
                <w:rFonts w:ascii="Times New Roman"/>
                <w:b w:val="false"/>
                <w:i w:val="false"/>
                <w:color w:val="000000"/>
                <w:sz w:val="20"/>
              </w:rPr>
              <w:t>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Тасжүреков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w:t>
            </w:r>
          </w:p>
          <w:p>
            <w:pPr>
              <w:spacing w:after="20"/>
              <w:ind w:left="20"/>
              <w:jc w:val="both"/>
            </w:pPr>
            <w:r>
              <w:rPr>
                <w:rFonts w:ascii="Times New Roman"/>
                <w:b w:val="false"/>
                <w:i w:val="false"/>
                <w:color w:val="000000"/>
                <w:sz w:val="20"/>
              </w:rPr>
              <w:t>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Есмағамбетова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өнім өндірісі және айналымы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Тасжүреков, А.С. Есмағамбетова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өнім өндірісі кезінде қолданылатын рұқсат етiлген құралдар тізімін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Тасжүреков, А.С. Есмағамбетова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өнім өндірісінің сәйкестігін растау кезінде келтірілген шығыстардың бір бөлігін субсидиялау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Тасжүреков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ақпандағы № 39/НҚ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 Коняшкин,</w:t>
            </w:r>
          </w:p>
          <w:p>
            <w:pPr>
              <w:spacing w:after="20"/>
              <w:ind w:left="20"/>
              <w:jc w:val="both"/>
            </w:pPr>
            <w:r>
              <w:rPr>
                <w:rFonts w:ascii="Times New Roman"/>
                <w:b w:val="false"/>
                <w:i w:val="false"/>
                <w:color w:val="000000"/>
                <w:sz w:val="20"/>
              </w:rPr>
              <w:t>Е.Қ. Тасжүреков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өнім өндіру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28 желтоқсандағы № 15-05/1139 және Қазақстан Республикасы Ұлттық экономика министрінің 2015 жылғы 29 желтоқсандағы № 818 бірлескен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Тасжүреков, Б.Ә. Құдайбергенов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кейбір бұйрықтарының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Тасжүреков</w:t>
            </w:r>
          </w:p>
        </w:tc>
      </w:tr>
    </w:tbl>
    <w:p>
      <w:pPr>
        <w:spacing w:after="0"/>
        <w:ind w:left="0"/>
        <w:jc w:val="both"/>
      </w:pPr>
      <w:r>
        <w:rPr>
          <w:rFonts w:ascii="Times New Roman"/>
          <w:b w:val="false"/>
          <w:i w:val="false"/>
          <w:color w:val="000000"/>
          <w:sz w:val="28"/>
        </w:rPr>
        <w:t>
      Ескертпе: аббревиатуралардың толық жазылуы: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Ауыл шаруашылығы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