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955c" w14:textId="8169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экспорттық-кредиттік агенттік және шикізаттық емес тауарлардың (жұмыстардың, көрсетілетін қызметтердің) экспортын ілгерілету мәселелері бойынша өзгерістер мен толықтырулар енгізу туралы" 2024 жылғы 23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9 ақпандағы № 10-ө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экспорттық-кредиттік агенттік және шикізаттық емес тауарлардың (жұмыстардың, көрсетілетін қызметтердің) экспортын ілгерілету мәселелері бойынша өзгерістер мен толықтырулар енгізу туралы" 2024 жылғы 23 қаңтардағы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9 ақпандағы</w:t>
            </w:r>
            <w:r>
              <w:br/>
            </w:r>
            <w:r>
              <w:rPr>
                <w:rFonts w:ascii="Times New Roman"/>
                <w:b w:val="false"/>
                <w:i w:val="false"/>
                <w:color w:val="000000"/>
                <w:sz w:val="20"/>
              </w:rPr>
              <w:t>№ 10-ө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экспорттық-кредиттік агенттік және шикізаттық емес тауарлардың (жұмыстардың, көрсетілетін қызметтердің) экспортын ілгерілету мәселелері бойынша өзгерістер мен толықтырулар енгізу туралы" 2024 жылғы 23 қантардағы Қазақстан Республикасының Заңын іске асыру мақсатында қабылдануы қажет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және уақтылы әзірлеуге және енгізуге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агенттігін және оның функцияларын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Саинов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Кеңбеил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2010 жылғы 20 шілдедегі № 739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w:t>
            </w:r>
          </w:p>
          <w:p>
            <w:pPr>
              <w:spacing w:after="20"/>
              <w:ind w:left="20"/>
              <w:jc w:val="both"/>
            </w:pPr>
            <w:r>
              <w:rPr>
                <w:rFonts w:ascii="Times New Roman"/>
                <w:b w:val="false"/>
                <w:i w:val="false"/>
                <w:color w:val="000000"/>
                <w:sz w:val="20"/>
              </w:rPr>
              <w:t xml:space="preserve">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w:t>
            </w:r>
          </w:p>
          <w:p>
            <w:pPr>
              <w:spacing w:after="20"/>
              <w:ind w:left="20"/>
              <w:jc w:val="both"/>
            </w:pPr>
            <w:r>
              <w:rPr>
                <w:rFonts w:ascii="Times New Roman"/>
                <w:b w:val="false"/>
                <w:i w:val="false"/>
                <w:color w:val="000000"/>
                <w:sz w:val="20"/>
              </w:rPr>
              <w:t xml:space="preserve">12 қазандағы № 97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қызметінің жекелеген түрлерін жүзеге асыру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ҚМ,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үшін тәуекелдерді басқару және ішкі бақылау жүйесін қалыптастыру, сондай-ақ резервтерді қалыптастыру және олар бойынша актуарлық есеп айырысулар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ҚМ,</w:t>
            </w:r>
          </w:p>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 Қазақстан Республикасы Ұлттық экономика министрінің 2019 жылғы 2 шілдедегі № 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Құдайбергенов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 қолдау бойынша мемлекеттік кепілдік беру міндеттемеге мониторингті және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мониторингтеуді атқару қағидаларын бекіту туралы" Қазақстан Республикасы Премьер-Министрінің бірінші орынбасары – Қазақстан  Республикасы Қаржы министрінің 2020 жылғы 12 ақпандағы № 138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 Раиысов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атқарушының 2022 жылғы 27 мамырдағы № 298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w:t>
            </w:r>
          </w:p>
          <w:p>
            <w:pPr>
              <w:spacing w:after="20"/>
              <w:ind w:left="20"/>
              <w:jc w:val="both"/>
            </w:pPr>
            <w:r>
              <w:rPr>
                <w:rFonts w:ascii="Times New Roman"/>
                <w:b w:val="false"/>
                <w:i w:val="false"/>
                <w:color w:val="000000"/>
                <w:sz w:val="20"/>
              </w:rPr>
              <w:t>2022 жылғы 1 тамыздағы № 314-НҚ бұйрығына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мемлекеттік кепілдік беру лимитінің сомасын айқындау қағидаларын бекіту туралы" Қазақстан Республикасы Ұлттық экономика министрінің 2023 жылғы 16 мамырдағы № 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жобаларды бірыңғай индустрияландыру картасына енгізу қағидаларын бекіту туралы" Қазақстан Республикасы Индустрия және инфрақұрылымдық даму министрінің міндетін атқарушының 2023 жылғы 22 тамыздағы № 592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 Оспанов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ҚМ – Қазақстан Республикасының Қаржы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