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8760" w14:textId="fe88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"Жасыл өсім" және ұлттық экономиканы терең карбонсыздандыру жөніндегі шараларды енгізе отырып, Қазақстанның төмен көміртекті дамуының 2050 жылға дейінгі тұжырымдамасын әзірлеу және бекіту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29 желтоқсандағы № 162-ө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2020 жылғы 1 қыркүйектегі "Жаңа жағдайдағы Қазақстан: іс-қимыл кезеңі" атты Қазақстан халқына Жолдауын іске асыру жөніндегі жалпыұлттық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98-тармағын іске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"жасыл өсім" және ұлттық экономиканы терең карбонсыздандыру жөніндегі шараларды енгізе отырып, Қазақстанның төмен көміртекті дамуының 2050 жылға дейінгі тұжырымдамасын әзірлеу және бекіту бойынша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2021 жылғы 5 мамырға дейінгі мерзімде "жасыл өсім" және ұлттық экономиканы терең карбонсыздандыру жөніндегі шараларды енгізе отырып, Қазақстанның төмен көміртекті дамуының 2050 жылға дейінгі тұжырымдамасының жобасын әзірлесін және Үкіметке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"Жасыл өсім" және ұлттық экономиканы терең карбонсыздандыру жөніндегі шараларды енгізе отырып, Қазақстанның төмен көміртекті дамуының 2050 жылға дейінгі тұжырымдамасын әзірлеу және бекіту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 Климаттық саясат және жасыл технологиялар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және дамыту агенттігі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орталығы" акционерлік қоғамы жасыл қаржы орталығының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Даму" акционерлік қоғамының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академия" ғылыми-білім беру орталығының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"Энергетика" секторының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өндірістік қауіпсіздікті басқару орталығының өнеркәсіптік қауіпсіздік, еңбекті және қоршаған ортаны қорғау жөніндегі үйлестірушісі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қоғамының активтерді өндіру және басқару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жасыл технологиялар және инвестициялық жобалар орталығы" коммерциялық емес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экологиялық ұйымдарының қауымдастығы" заңды тұлғалар бірлестігінің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 және тау-кен металлургия кәсіпорындарының республикалық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"ECOJER" Қазақстандық өңірлік экологиялық бастамалар қауымдастығы"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"QAZCEM" цемент және бетон өндірушілердің Қазақстандық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өнеркәсіптік қауымдастығының қоршаған ортаны қорғау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"KazWaste" қалдықтарды басқару жөніндегі қазақстандық қауымдастығы өзін-өзі реттеу ұйымының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даму үшін қазақстандық табиғат пайдаланушылар қауымдастығының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электр энергетикалық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Біріккен Ұлттар Ұйымының даму бағдарламасы өкілінің тұрақты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Шетелдік инвесторлар кеңесінің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GIZ халықаралық ынтымақтастық жөніндегі Германия қоғамы өкілдігінің Төмен көміртекті даму тұжырымдамасын әзірлеу жөніндегі жобаның жетекшісі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