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2d9a" w14:textId="9ba2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қатынастары мәселелері бойынша өзгерістер мен толықтырулар енгізу туралы" 2014 жылғы 29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10 наурыздағы № 20-ө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тұрғын үй қатынастары мәселелері бойынша өзгерістер мен толықтырулар енгізу туралы" 2014 жылғы 29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Орталық атқарушы органдар:</w:t>
      </w:r>
    </w:p>
    <w:bookmarkEnd w:id="1"/>
    <w:bookmarkStart w:name="z2"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20-ө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тұрғын үй қатынастары мәселелері бойынша өзгерістер мен толықтырулар енгізу туралы" 2014 жылғы 29 желтоқсандағы Қазақстан Республикасының Заңын іске асыру мақсатында қабылдануы қажет нормативтік құқықтық актiлердiң тiзбесi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5880"/>
        <w:gridCol w:w="1060"/>
        <w:gridCol w:w="2760"/>
        <w:gridCol w:w="1861"/>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актiнiң атауы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Актiнiң нысаны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шартының үлгілік нысанын бекіту туралы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күтіп-ұстауға арналған шығыстар сметасын есептеу әдістемесін бекіту туралы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(пәтерлердің) меншік иелері жиналыстары хаттамасының және үй-жайлардың (пәтерлердің) меншік иелеріне жазбаша сауалнама жүргізу кезінде дауыс беру парағының, кондоминиум объектісін басқару жөніндегі есептің үлгілік нысандарын бекіту туралы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 туралы үлгілік ережені бекіту туралы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жедел тапсырмаларды орындау үшін ерекше тәртіппен қызмет өткеріп жүрген арнаулы мемлекеттік органдардың қызметкерлеріне және штаттық жасырын қызметкерлерге тұрғын үй төлемдерін жүзеге асыру қағидаларын бекіту туралы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органдардың бұйрықтары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"Сырбар" СБҚ (келісім бойынша)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аббревиатуралардың толық жазылуы: </w:t>
      </w:r>
    </w:p>
    <w:bookmarkEnd w:id="5"/>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"Сырбар" СБҚ – Қазақстан Республикасы "Сырбар" Сыртқы барлау қызметі.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