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c914" w14:textId="10dc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халыққа қызмет көрсету орталықтарының мәселелері бойынша өзгерістер мен толықтырулар енгізу туралы" Қазақстан Республикасының 2011 жылғы 21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25 тамыздағы № 112-ө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халыққа қызмет көрсету орталықтарының мәселелері бойынша өзгерістер мен толықтырулар енгізу туралы» Қазақстан Республикасының 2011 жылғы 21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актілеріне халыққа қызмет көрсету орталықтарының мәселелері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бойынша өзгерістер мен толықтырулар енгізу туралы»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2011 жылғы 21 шілдедегі </w:t>
      </w:r>
      <w:r>
        <w:br/>
      </w:r>
      <w:r>
        <w:rPr>
          <w:rFonts w:ascii="Times New Roman"/>
          <w:b/>
          <w:i w:val="false"/>
          <w:color w:val="000000"/>
        </w:rPr>
        <w:t>
Заңын іске асыру мақсатында қабылдануы қажет</w:t>
      </w:r>
      <w:r>
        <w:br/>
      </w:r>
      <w:r>
        <w:rPr>
          <w:rFonts w:ascii="Times New Roman"/>
          <w:b/>
          <w:i w:val="false"/>
          <w:color w:val="000000"/>
        </w:rPr>
        <w:t>
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470"/>
        <w:gridCol w:w="2984"/>
        <w:gridCol w:w="2795"/>
        <w:gridCol w:w="1826"/>
      </w:tblGrid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Нормативтiк құқықтық актiнiң атауы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Актiнiң нысаны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жауапты мемлекеттiк орган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кейбір шешімдеріне өзгерістер мен толықтырулар енгізу туралы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 (жинақтау), Қаржымині, ЖРА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13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2010 жылғы 20 шілдедегі № 745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 (жинақтау), БАМ, Қаржымині, Еңбекмині, БҒМ, Қорғанысмині, ДСМ, ҚТҮКШІА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  қызмет критерийлерін бекіту туралы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 (жинақтау), БАМ, 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орталықтары арқылы көрсетілетін мемлекеттік қызметтерді іріктеу қағидасын бекіту туралы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 (жинақтау), Қаржымині, ЭДСМ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жүйелер арқылы халыққа қызмет көрсету орталықтарының ақпарат жүйесінің ақпарат алмасу қағидасын бекіту туралы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 (жинақтау), Қаржымині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ЖРА - Қазақстан Республикасы Жер ресурстарын басқару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ҚТҮКШІА - Қазақстан Республикасы Құрылыс және тұрғын үй-коммуналдық шаруашылық істері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