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ba12" w14:textId="50eb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Қазақстан Республикасының 2006 жылғы 7 шiлдедегi Заңын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4 қыркүйектегі N 258-ө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кейбiр заңнамалық актiлерiне тұрғын үйдiң жалға берiлетiн секторын дамыту мәселелерi бойынша өзгерiстер мен толықтырулар енгiзу туралы" Қазақстан Республикасының 2006 жылғы 7 шiлдедегi 
</w:t>
      </w:r>
      <w:r>
        <w:rPr>
          <w:rFonts w:ascii="Times New Roman"/>
          <w:b w:val="false"/>
          <w:i w:val="false"/>
          <w:color w:val="000000"/>
          <w:sz w:val="28"/>
        </w:rPr>
        <w:t xml:space="preserve"> Заңын </w:t>
      </w:r>
      <w:r>
        <w:rPr>
          <w:rFonts w:ascii="Times New Roman"/>
          <w:b w:val="false"/>
          <w:i w:val="false"/>
          <w:color w:val="000000"/>
          <w:sz w:val="28"/>
        </w:rPr>
        <w:t>
 iске асыру мақсатында:
</w:t>
      </w:r>
      <w:r>
        <w:br/>
      </w:r>
      <w:r>
        <w:rPr>
          <w:rFonts w:ascii="Times New Roman"/>
          <w:b w:val="false"/>
          <w:i w:val="false"/>
          <w:color w:val="000000"/>
          <w:sz w:val="28"/>
        </w:rPr>
        <w:t>
      Қазақстан Республикасы Қаржы нарығы мен қаржы ұйымдарын реттеу және қадағалау агенттiгi бiр ай мерзiмде "Жылжымайтын мүлiк қорларының активтерiн құрайтын қаржы құралдарының тiзбесiн бекiту туралы" ведомстволық нормативтiк құқықты кесімдi әзiрлесiн және қабылдасын әрi Қазақстан Республикасының Үкіметіне хабарласын.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