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948f" w14:textId="c23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 туралы" Қазақстан Республикасының Заңына норма шығару қызметін жетiлдiру мәселелері бойынша өзгерiстер мен толықтырулар енгiзу туралы" Қазақстан Республикасының 2005 жылғы 21 қазандағы Заңын iске асыру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22 қарашадағы N 327-ө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"Нормативтiк құқықтық актiлер туралы" Қазақстан Республикасының Заңына норма шығару қызметiн жетiлдiру мәceлeлepi бойынша өзгерiстер мен толықтырулар енгiзу туралы" Қазақстан Республикасының 2005 жылғы 21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мақсатында қабылдануы қажет нормативтiк құқықтық кесiмдердiң тізбесі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нормативтік құқықтық кесiмдердiң жобаларын әзiрлесiн және Қазақстан Республикасының Yкiметiне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Тiзбеге сәйкес бұйрық қабылдасын және қабылданған шаралар туралы Қазақстан Республикасының Үкіметін хабардар етсін.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22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327-ө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/>
          <w:i w:val="false"/>
          <w:color w:val="000000"/>
          <w:sz w:val="28"/>
        </w:rPr>
        <w:t xml:space="preserve">"Нормативтік құқықтық актілер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Республикасының Заңына норма шығару қызметін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мәселелері бойынша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енгiзу туралы" Қазақстан Республикасының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21 қазандағы Заңын iске асыру мақсатында қабылдануы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қажет нормативтiк құқықтық кесiмдердiң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тізбесi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93"/>
        <w:gridCol w:w="2773"/>
        <w:gridCol w:w="2073"/>
        <w:gridCol w:w="25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Кесімнiң нысаны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мерзiмi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 мемлекеттiк орган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Президентiнің 1997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3379 Жарлығы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күшi жойылды деп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 туралы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кесімдердің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тізілімін,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эталондық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Yкіметiнiң кейбiр шешімдерiне өзгерiстер мен толықтырулар енгізу туралы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актілерінiң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мәтіндерін кейiннен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жариялауға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Нұсқаулықты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министрiнiң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eнгізу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