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b545" w14:textId="dc1b5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мүгедектерді әлеуметтік қорғау мәселелері бойынша өзгерістер мен толықтырулар енгізу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2005 жылғы 31 мамырдағы N 152-ө Өкімі</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мүгедектерді әлеуметтік қорғау мәселелері бойынша өзгерістер мен толықтырулар енгізу туралы" Қазақстан Республикасының 2005 жылғы 13 сәуірдегі  </w:t>
      </w:r>
      <w:r>
        <w:rPr>
          <w:rFonts w:ascii="Times New Roman"/>
          <w:b w:val="false"/>
          <w:i w:val="false"/>
          <w:color w:val="000000"/>
          <w:sz w:val="28"/>
        </w:rPr>
        <w:t xml:space="preserve">Заңын </w:t>
      </w:r>
      <w:r>
        <w:rPr>
          <w:rFonts w:ascii="Times New Roman"/>
          <w:b w:val="false"/>
          <w:i w:val="false"/>
          <w:color w:val="000000"/>
          <w:sz w:val="28"/>
        </w:rPr>
        <w:t xml:space="preserve"> іске асыру мақсатында Қазақстан Республикасы Еңбек және халықты әлеуметтік қорғау министрлігі екі ай мерзімде "Жинақтаушы зейнетақы қорларынан міндетті зейнетақы жарналарының, ерікті кәсіптік зейнетақы жарналарының есебінен қалыптасқан зейнетақы жинақтарынан төленетін зейнетақы төлемдердің жүзеге асыру ережесін және Кесте бойынша зейнетақы төлемдердің мөлшерін есептеуді жүзеге асыру әдістемесін бекіту туралы" Қазақстан Республикасы Үкіметінің 2003 жылғы 4 шілдедегі N 661  </w:t>
      </w:r>
      <w:r>
        <w:rPr>
          <w:rFonts w:ascii="Times New Roman"/>
          <w:b w:val="false"/>
          <w:i w:val="false"/>
          <w:color w:val="000000"/>
          <w:sz w:val="28"/>
        </w:rPr>
        <w:t xml:space="preserve">қаулысына </w:t>
      </w:r>
      <w:r>
        <w:rPr>
          <w:rFonts w:ascii="Times New Roman"/>
          <w:b w:val="false"/>
          <w:i w:val="false"/>
          <w:color w:val="000000"/>
          <w:sz w:val="28"/>
        </w:rPr>
        <w:t xml:space="preserve">толықтырулар мен өзгерістер енгізу туралы" қаулының жобасын Қазақстан Республикасы Үкіметінің қарауына ұсынсын.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