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1bca" w14:textId="ac51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аумағындағы тұрғын үй ғимараттарындағы үй-жайларды қайта жаңарту (қайта жоспарлау, қайта жабдықтау) үшін рұқсат алу рәсімдерінен өтудің бірыңғай республикалық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қазан N 1562.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Жеке кәсіпкерлікті қорғау және қолдау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1992 жылғы 4 шілдедегі, "Қазақстан Республикасындағы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сәулет және қала құрылысы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1993 жылғы 22 қазандағы, " 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Тұрғын үй қатынастары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1997 жылғы 16 сәуірдегі Қазақстан Республикасының Заңдарын, Қазақстан Республикасы Президентінің "Шағын кәсіпкерлікті дамытуға мемлекеттік қолдауды күшейту және оны жандандыру жөніндегі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шаралар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туралы" 1997 жылғы 6 наурыздағы және "Азаматтар мен заңды тұлғалардың кәсіпкерлік қызмет еркіндігі 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құқығын қорғау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туралы" 1998 жылғы 27 сәуірдегі Жарлықтарын одан әрі іске асыру мақсатында Қазақстан Республикасының Үкіметі қаулы етеді: </w:t>
      </w:r>
      <w:r>
        <w:rPr>
          <w:rFonts w:ascii="Times New Roman"/>
          <w:b w:val="false"/>
          <w:i w:val="false"/>
          <w:color w:val="000000"/>
          <w:sz w:val="28"/>
        </w:rPr>
        <w:t xml:space="preserve">Z060124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P080425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Энергетика, индустрия және сауда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Құрылыс </w:t>
      </w:r>
      <w:r>
        <w:rPr>
          <w:rFonts w:ascii="Times New Roman"/>
          <w:b w:val="false"/>
          <w:i w:val="false"/>
          <w:color w:val="000000"/>
          <w:sz w:val="28"/>
        </w:rPr>
        <w:t xml:space="preserve">істері жөніндегі комитеті жобалау, жұмыстар жүргізу және пайдалану кезінде құрылыс нормалары мен ережелерін, өзге де нормативтік актілердің сақталуын қамтамасыз етуді және тұрғын ғимараттарындағы үй-жайларды қайта жаңарту (қайта жоспарлау, қайта жабдықтау) үшін рұқсат алу рәсімдерінен өтеудің ықшамдалған тәртібін көздейтін бірыңғай республикалық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Ережелерді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Ережелер) әзірлесін, белгіленген тәртіппен бекітсін және қолдануға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атқарушы органдар өздерінің бұрын қабылдаған шешімдерін Ережелерге сәйкестендірсін және жергілікті жерлерде олардың барлық мүдделі тұлғалар үшін ашықтығын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Оқығандар: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Қобдалиева Н.М.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Орынбекова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