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95f2" w14:textId="6b39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ресурстары және жерге орналастыру мемлекеттік ғылыми-өндірістік орталығының еншілес мемлекеттік кәсіпорындарын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24 мамыр N 628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Ауыл шаруашылығы министрлігі Жер ресурстарын басқару жөніндегі комитетінің "Жер ресурстары және жерге орналастыру мемлекеттік ғылыми-өндірістік орталық" республикалық мемлекеттік кәсіпорнына Астана қаласы бойынша шаруашылық жүргізу құқығындағы жер ресурстары және жерге орналастыру жөніндегі еншілес мемлекеттік кәсіпорнын және Алматы қаласы бойынша шаруашылық жүргізу құқығындағы жер ресурстары және жерге орналастыру еншілес мемлекеттік кәсіпорнын құруға рұқсат етілсін. </w:t>
      </w:r>
      <w:r>
        <w:br/>
      </w:r>
      <w:r>
        <w:rPr>
          <w:rFonts w:ascii="Times New Roman"/>
          <w:b w:val="false"/>
          <w:i w:val="false"/>
          <w:color w:val="000000"/>
          <w:sz w:val="28"/>
        </w:rPr>
        <w:t>
      2. Қазақстан Республикасының Ауыл шаруашылығы министрлігі заңда белгіленген тәртіппен бұрын қабылданған Үкіметтің шешімдерін, сондай-ақ Ауыл шаруашылығы министрлігінің бұрын қабылдаған шешімдерін осы қаулыға сәйкес келтіру жөнінде ұсыныстар енгізсін.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Қобдалаиева Н.</w:t>
      </w:r>
      <w:r>
        <w:br/>
      </w:r>
      <w:r>
        <w:rPr>
          <w:rFonts w:ascii="Times New Roman"/>
          <w:b w:val="false"/>
          <w:i w:val="false"/>
          <w:color w:val="000000"/>
          <w:sz w:val="28"/>
        </w:rPr>
        <w:t>
      Омарбекова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