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8cd1" w14:textId="3248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ғылыми-техникалық орталықтың 1999 жылға арналған бағдарламалары мен кіші бағдарламаларының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қаңтар N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Республикасының 1998 жылғы 16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"1999 жылға арналған республикалық бюджет туралы" Қазақстан Республикасының Заңын іске асыру туралы" Қазақстан Республикасы Үкіметінің 1998 жылғы 25 желтоқсандағы N 1334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ғылыми-техникалық орталықтың республикалық бюджеттен қаржыландырылатын бағдарламалары мен кіші бағдарламаларының тізбесі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ғылыми-техникалық орталық (келісім бойынша) қолданылып жүрген нормативтік құқықтық актілерді осы қаулыға сәйкес келтіру туралы ұсыныстарды әзірлеп, Қазақстан Республикасының Үкіметіне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Премьер-Министрі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Үкіметінің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67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Ұлттық ғылыми-техникалық орталықтың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бюджеттен қаржыландырылатын бағдарламалары мен кіші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бағдарламаларының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 Атауы                   | 1998 жылғы   | 1999 жылғы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 |қаржыландыру  | қаржыландыру          |                             |  нысаны      |   нысаны          ____|_____________________________|______________|__________________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Жалпы сипаттағы мемлекеттік   Ұстауға            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 көрсетулер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 және ұлттық қауіп.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сіздік саласындағы іргелі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Мемлекеттік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Ұлттық ғылыми-техникалық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Қолданбалы математика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Арнайы техникалық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Эргономика институты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