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cab1" w14:textId="2e9c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Адвокаттық және нотариалдық қызметпен айналысу құқығына арналған мемлекеттік лицензиялардың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23 желтоқсандағы N 1325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"Адвокаттық қызмет туралы" 1997 жылғы 5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"Нотариат туралы" 1997 жылғы 14 шілдедегі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Үкіметіне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адвокаттық қызметпен айналысу құқығына арналған мемлекеттік лицензияның;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нотариалдық қызметпен айналысу құқығына арналған мемлекеттік лицензияның нысандары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"Адвокаттық қызметпен байланысты емес ақылы заң қызметін, адвокаттық және нотариалдық қызметтер көрсетуді, жылжымайтын мүлікті бағалауды лицензиялау мәселелері" туралы 1997 жылғы 15 тамыздағы N 1262 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37, 359-құжат) 3-тармағындағы төртінші және бесінші абзацтарының күші жойылған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Үкіметінің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1325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2004.10.28. 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қараңыз)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елтаңбасы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Мемлекеттік лицензия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(жеке тұлғаның толық 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адвокаттық қызметпен айналысу құқығына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Лицензия, мерзіміне шек қойылмай берілетін, бас лицензия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табылады және Қазақстан Республикасының бүкіл аумағында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Лицензияны Қазақстан Республикасының Әділет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қызметі және құқықтық көмек көрсету комитеті берген.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Комитеттің төрағасы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(қолы)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Лицензияның берілген күні "____"____________199__ж.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Лицензияның нөмірі 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________________қаласы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Үкіметінің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1325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2004.10.28. 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қараңыз)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елтаңбасы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Мемлекеттік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(жеке тұлғаның толық 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нотариалдық қызметпен айналысу құқығына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Лицензия, мерзіміне шек қойылмай берілетін, бас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  табылады және Қазақстан Республикасының бүкіл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Лицензияны Қазақстан Республикасының Әділет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қызметі және құқықтық көмек көрсету комитетi берген.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Комитеттің төрағасы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(қолы)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Лицензияның берілген күні "____"____________199__ж.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Лицензияның нөмірі 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