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9920" w14:textId="3a49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31 желтоқсандағы N 1749 қаулысына өзгерiс пен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24 шiлдедегi N 1167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Акцизделетiн тауарларды таңбалаудың тәртiбiн жетiлдiру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"Акцизделетiн тауарларды жаңа үлгiдегi акциздiк алым маркаларымен мiндеттi түрде таңбалауды енгiзу туралы" Қазақстан Республикасы Үкiметiнiң 1996 жылғы 31 желтоқсандағы N 1749 қаулысына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P961749_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53, 5181-құжат) мынадай өзгерiс пен толықтыру енгiзiлсiн: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2-тармақтың үшiншi абзацы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"1997 жылғы 1 қазаннан бастап 1-қосымшаға сәйкес темекi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өнiмдерiн және 2-қосымшаға сәйкес акцизделетiн тауарларды";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5-тармақтың екiншi абзацы мынадай мазмұндағы сөйлемдермен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"Акциз ставкаларындағы елеулi айырмашылықты ескере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шараптар мен күшейтiлген сусындарға арналған жеке акциздiк таңбалар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жасау көзделсiн".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