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0ae5" w14:textId="4850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қатысушы-мемлекеттерден әкелiнетiн өнiмдi кедендiк ресiмдеу кезiнде ставкалардағы айырмашылық бойынша қосылған құнға салық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тамыз N 979. Күші жойылды - ҚР Үкіметінің 2001.07.23. N 988 қаулысымен. ~P010988</w:t>
      </w:r>
    </w:p>
    <w:p>
      <w:pPr>
        <w:spacing w:after="0"/>
        <w:ind w:left="0"/>
        <w:jc w:val="both"/>
      </w:pPr>
      <w:bookmarkStart w:name="z0" w:id="0"/>
      <w:r>
        <w:rPr>
          <w:rFonts w:ascii="Times New Roman"/>
          <w:b w:val="false"/>
          <w:i w:val="false"/>
          <w:color w:val="000000"/>
          <w:sz w:val="28"/>
        </w:rPr>
        <w:t xml:space="preserve">
      Қазақстан Республикасының тауар өндiрушiлерiн Тәуелсiз Мемлекеттер Достастығына қатысушы-мемлекеттерден әкелiнетiн ұқсас арзан өнiм шығарудан қорғау мақсатында Қазақстан Республикасының Үкiметi қаулы етедi: </w:t>
      </w:r>
      <w:r>
        <w:br/>
      </w:r>
      <w:r>
        <w:rPr>
          <w:rFonts w:ascii="Times New Roman"/>
          <w:b w:val="false"/>
          <w:i w:val="false"/>
          <w:color w:val="000000"/>
          <w:sz w:val="28"/>
        </w:rPr>
        <w:t xml:space="preserve">
      1. Тәуелсiз Мемлекеттер Достастығына қатысушы-мемлекеттерден әкелiнетiн бағалары қосылған құнға салынатын салық ставкасының 20 проценттен төмен мөлшерде қолданылуы арқылы қалыптасқан өнiмге кеден органдары кедендiк ресiмдеу кезiндегi ставкалар айырмашылығы бойынша қосылған құнға жалпы белгiленген тәртiппен салық салынуға мiндеттi. </w:t>
      </w:r>
      <w:r>
        <w:br/>
      </w:r>
      <w:r>
        <w:rPr>
          <w:rFonts w:ascii="Times New Roman"/>
          <w:b w:val="false"/>
          <w:i w:val="false"/>
          <w:color w:val="000000"/>
          <w:sz w:val="28"/>
        </w:rPr>
        <w:t xml:space="preserve">
      2. Осы қаулы жарияланған күннен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