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6b73" w14:textId="4966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техникасын алу туралы</w:t>
      </w:r>
    </w:p>
    <w:p>
      <w:pPr>
        <w:spacing w:after="0"/>
        <w:ind w:left="0"/>
        <w:jc w:val="both"/>
      </w:pPr>
      <w:r>
        <w:rPr>
          <w:rFonts w:ascii="Times New Roman"/>
          <w:b w:val="false"/>
          <w:i w:val="false"/>
          <w:color w:val="000000"/>
          <w:sz w:val="28"/>
        </w:rPr>
        <w:t>Қазақстан Республикасы Үкiметiнiң қаулысы 1995 жылғы 23 қазандағы N 1378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әскери
ынтымақтастық туралы 1994 жылғы 28 наурыздағы Шартты және Қазақстан
Республикасының Үкiметi мен Ресей Федерациясы Үкiметiнiң арасындағы 
Қазақстан Республикасының аумағынан Ресей Федерациясының аумағына
әкетiлген қару-жарақ пен авиациялық техника үшiн өтем туралы 1995
жылғы 24 маусымдағы Келiсiмдi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Қорғаныс министрлiгiне Ресей
Федерациясының Қарулы Күштерiнiң құрамынан Қазақстан Республикасы
Қарулы Күштерiнiң құрамына 1995 жылдың соңына дейiн 21 МиГ-29
ұшағын, 14 Су-25 ұшағын, 4 Су-27 ұшағын, 4 Су-27УБ ұшағын, 1996
жылдың қаңтар - желтоқсанында 14 Су-27 ұшағын, 4 Су-27УБ ұшағын
және 1997 жылдың қаңтар - шiлдесiнде 12 Су-27 ұшағын алуға рұқсат 
етiлсiн.
</w:t>
      </w:r>
      <w:r>
        <w:br/>
      </w:r>
      <w:r>
        <w:rPr>
          <w:rFonts w:ascii="Times New Roman"/>
          <w:b w:val="false"/>
          <w:i w:val="false"/>
          <w:color w:val="000000"/>
          <w:sz w:val="28"/>
        </w:rPr>
        <w:t>
          2. Қазақстан Республикасының Өнеркәсiп және сауда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авиация техникасын Қазақстан Республикасының аумағына импорттауға
лицензиялар берсiн.
     3. Қазақстан Республикасының Кеден комитетi кедендiк 
құжаттарды ресiмдеудi авиация техникасын әкелуге кеден бажын
алмай ресiмдейтiн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