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9d88" w14:textId="a749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контейнерлік тасымалдарды дамытудың 2026 – 2030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2026 жылғы 29 мамырдағы № 449 қаулысы.</w:t>
      </w:r>
    </w:p>
    <w:p>
      <w:pPr>
        <w:spacing w:after="0"/>
        <w:ind w:left="0"/>
        <w:jc w:val="both"/>
      </w:pPr>
      <w:bookmarkStart w:name="z4" w:id="0"/>
      <w:r>
        <w:rPr>
          <w:rFonts w:ascii="Times New Roman"/>
          <w:b w:val="false"/>
          <w:i w:val="false"/>
          <w:color w:val="000000"/>
          <w:sz w:val="28"/>
        </w:rPr>
        <w:t xml:space="preserve">
      Контейнерлік тасымалдарды одан әрі дамыту мақсатында Қазақстан Республикасының Үкіметі </w:t>
      </w:r>
      <w:r>
        <w:rPr>
          <w:rFonts w:ascii="Times New Roman"/>
          <w:b/>
          <w:i w:val="false"/>
          <w:color w:val="000000"/>
          <w:sz w:val="28"/>
        </w:rPr>
        <w:t>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Республикасында контейнерлік тасымалдарды дамытудың 2026 – 2030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6" w:id="2"/>
    <w:p>
      <w:pPr>
        <w:spacing w:after="0"/>
        <w:ind w:left="0"/>
        <w:jc w:val="both"/>
      </w:pPr>
      <w:r>
        <w:rPr>
          <w:rFonts w:ascii="Times New Roman"/>
          <w:b w:val="false"/>
          <w:i w:val="false"/>
          <w:color w:val="000000"/>
          <w:sz w:val="28"/>
        </w:rPr>
        <w:t>
      2. Кешенді жоспарды орындауға жауапты Қазақстан Республикасының орталық мемлекеттік және жергілікті атқарушы органдары, өзге де ұйымдары (келісу бойынша):</w:t>
      </w:r>
    </w:p>
    <w:bookmarkEnd w:id="2"/>
    <w:bookmarkStart w:name="z7" w:id="3"/>
    <w:p>
      <w:pPr>
        <w:spacing w:after="0"/>
        <w:ind w:left="0"/>
        <w:jc w:val="both"/>
      </w:pPr>
      <w:r>
        <w:rPr>
          <w:rFonts w:ascii="Times New Roman"/>
          <w:b w:val="false"/>
          <w:i w:val="false"/>
          <w:color w:val="000000"/>
          <w:sz w:val="28"/>
        </w:rPr>
        <w:t>
      1) Кешенді жоспарды іске асыру бойынша қажетті шараларды қабылдасын;</w:t>
      </w:r>
    </w:p>
    <w:bookmarkEnd w:id="3"/>
    <w:bookmarkStart w:name="z8" w:id="4"/>
    <w:p>
      <w:pPr>
        <w:spacing w:after="0"/>
        <w:ind w:left="0"/>
        <w:jc w:val="both"/>
      </w:pPr>
      <w:r>
        <w:rPr>
          <w:rFonts w:ascii="Times New Roman"/>
          <w:b w:val="false"/>
          <w:i w:val="false"/>
          <w:color w:val="000000"/>
          <w:sz w:val="28"/>
        </w:rPr>
        <w:t>
      2) жылына бір рет, есепті жылдан кейінгі айдың 15-і күнінен кешіктірмей Қазақстан Республикасының Көлік министрлігіне Кешенді жоспардың орындалу барысы туралы ақпаратты беріп тұрсын.</w:t>
      </w:r>
    </w:p>
    <w:bookmarkEnd w:id="4"/>
    <w:bookmarkStart w:name="z9" w:id="5"/>
    <w:p>
      <w:pPr>
        <w:spacing w:after="0"/>
        <w:ind w:left="0"/>
        <w:jc w:val="both"/>
      </w:pPr>
      <w:r>
        <w:rPr>
          <w:rFonts w:ascii="Times New Roman"/>
          <w:b w:val="false"/>
          <w:i w:val="false"/>
          <w:color w:val="000000"/>
          <w:sz w:val="28"/>
        </w:rPr>
        <w:t>
      3. Қазақстан Республикасының Көлік министрлігі есепті жылдан кейінгі жылдың 15 ақпанынан кешіктірмей Кешенді жоспардың орындалу барысы туралы жиынтық ақпаратты Қазақстан Республикасы Үкіметінің Аппаратына беріп тұрсын.</w:t>
      </w:r>
    </w:p>
    <w:bookmarkEnd w:id="5"/>
    <w:bookmarkStart w:name="z10"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Көлік министрлігіне жүктелсін. </w:t>
      </w:r>
    </w:p>
    <w:bookmarkEnd w:id="6"/>
    <w:bookmarkStart w:name="z11"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жылы "29" мамырдағы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Республикасында 2026 – 2030 жылдарға арналған контейнерлік тасымалдарды дамыту жөніндегі кешенді жоспар</w:t>
      </w:r>
    </w:p>
    <w:bookmarkEnd w:id="8"/>
    <w:bookmarkStart w:name="z15" w:id="9"/>
    <w:p>
      <w:pPr>
        <w:spacing w:after="0"/>
        <w:ind w:left="0"/>
        <w:jc w:val="left"/>
      </w:pPr>
      <w:r>
        <w:rPr>
          <w:rFonts w:ascii="Times New Roman"/>
          <w:b/>
          <w:i w:val="false"/>
          <w:color w:val="000000"/>
        </w:rPr>
        <w:t xml:space="preserve">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2026 – 2030 жылдарға арналған контейнерлік тасымалдарды дамытудың кешенді жоспары (бұдан әрі – Кешенді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2025 жылғы 13 қазандағы № 1042 Жарлығымен бекітілген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 іске асыру жөніндегі жалпыұлттық іс-шаралар жоспары (41-тармақ)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Әзірлеуші мемлекеттік орган және бірлесіп орындаушылардың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      Қазақстан Республикасы Көлік министрлігі (әзірлеуші мемлекеттік орган);</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астананың, облыстың, республикалық маңызы бар қаланың жергілікті атқарушы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"ҚазМұнайГаз"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темір жолы" ұлттық компаниясы" акционерлік қоғамы;</w:t>
            </w:r>
          </w:p>
          <w:p>
            <w:pPr>
              <w:spacing w:after="20"/>
              <w:ind w:left="20"/>
              <w:jc w:val="both"/>
            </w:pPr>
            <w:r>
              <w:rPr>
                <w:rFonts w:ascii="Times New Roman"/>
                <w:b w:val="false"/>
                <w:i w:val="false"/>
                <w:color w:val="000000"/>
                <w:sz w:val="20"/>
              </w:rPr>
              <w:t>
12)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проблемалар мен оларды шешу жөніндегі міндеттерді көрсете отырып Кешенді жоспарды қабылдау қажеттілігі туралы қысқаша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2026 – 2030 жылдарға арналған контейнерлік тасымалдарды дамытудың кешенді жоспарын қабылдау Қазақстан Республикасында контейнерлік технологияларды пайдалану деңгейінің төмен болуымен, сонымен қатар елеулі транзиттік, экспорттық және ішкі жүк әлеуетінің бар болуымен негізделеді. Әлемдік саудада жаһандық контейнерлендіру мен жүк ағындары үшін халықаралық бәсекелестіктің күшеюі жағдайында контейнерлік тасымалдарды дамытуға жүйелі әрі нысаналы тәсіл қажет. Контейнерлік тасымалдар көлік-логистикалық кешеннің тиімділігін арттырудың, экономиканың логистикалық шығындарын төмендетудің және елдің экспорттық-транзиттік рөлін нығайтудың негізгі элементі болып табылады.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проблемалар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Контейнерлік тасымалдар үлесінің төмен болуы. Контейнерлік тасымалдар жалпы тасымалдар көлемінің </w:t>
            </w:r>
          </w:p>
          <w:p>
            <w:pPr>
              <w:spacing w:after="20"/>
              <w:ind w:left="20"/>
              <w:jc w:val="both"/>
            </w:pPr>
            <w:r>
              <w:rPr>
                <w:rFonts w:ascii="Times New Roman"/>
                <w:b w:val="false"/>
                <w:i w:val="false"/>
                <w:color w:val="000000"/>
                <w:sz w:val="20"/>
              </w:rPr>
              <w:t>8 %-ын ғана құрайды, ал республика ішіндегі қатынастағы үлесі өте төмен (0,3 %), бұл контейнерлердің ішкі нарыққа қызмет көрсетуге әлсіз интеграциясын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әлеуетінің жеткіліксіз іске асырылуы. Жылына шамамен 68,7 млн тонна көлеміндегі контейнерге жарамды жүк базасының болуына қарамастан, қазіргі тасымалдар көлемі әлеуетті деңгейден үш есе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 құрылымындағы теңгерімсіздік. Контейнер айналымының негізгі көлемі транзит есебінен қалыптасады, ал экспорттық және импорттық тасымалдар ұқсас транзиттік әлеуеті бар елдермен салыстырғанда жеткіліксіз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Инфрақұрылымдық және технологиялық шектеулер. Контейнерлік инфрақұрылымның жеткіліксіз дамуы, жүк номенклатурасы мен жөнелту пункттері бойынша жоғары шоғырлану оны мақсатты және кезең-кезеңімен дамытуды талап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 жылдамдығы мен болжамдылығының төмендеуі. Негізсіз тексерулер, ұзаққа созылатын бақылау рәсімдері және контейнерлердің қозғалысына қойылатын уақытша шектеулер жеткізу мерзімдерін ұзартып, қазақстандық маршруттардың бәсекеге қабілеттілігін төмендетеді.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 жөніндегі негізгі міндеттер: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экономикалық тұрғыдан бәсекеге қабілетті және технологиялық жағынан орнықты контейнерлік тасымалдар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экспорттық және импорттық қатынастарда контейнерлерді қолдануды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базасының шоғырлануын ескере отырып контейнерлік инфрақұрылымды кезең-кезеңімен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бақылау және тексеру рәсімдерін оңтайландыру арқылы тасымалдардың жылдамдығы мен сенімділігін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теңгерімді тарифтік модельді және жеке инвестицияларды тарту үшін қолайлы жағдайларды қалыптастыру;</w:t>
            </w:r>
          </w:p>
          <w:p>
            <w:pPr>
              <w:spacing w:after="20"/>
              <w:ind w:left="20"/>
              <w:jc w:val="both"/>
            </w:pPr>
            <w:r>
              <w:rPr>
                <w:rFonts w:ascii="Times New Roman"/>
                <w:b w:val="false"/>
                <w:i w:val="false"/>
                <w:color w:val="000000"/>
                <w:sz w:val="20"/>
              </w:rPr>
              <w:t>
контейнерлік тасымалдарды халықаралық көлік-логистикалық дәліздерге интеграциялау.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 үлесін тасымалдардың жалпы көлемінен 2030 жылға қарай 15 % – ға дейін ұлғайту (2025 жылы – 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2025 жылғы деңгеймен салыстырғанда контейнерлік тасымалдардың жылдамдығын арттыру: 2030 жылы – транзиттік тасымалдар бойынша 20 % – ға, 2030 жылы - экспорттық тасымалдар бойынша 15 % – ға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Логистикалық орталықтардың инфрақұрылымы және дамуы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контейнерлерді шоғырландыру үшін тірек көлік-логистикалық орталықтарды айқындау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 желісін қалыптастыру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 дамытуға арналған инфрақұрылымдық жобаларды талдау және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қайта тиеу бойынша жеткілікті қуаттарды қамтамасыз ету және контейнерлік пойыздарды қалыптастыру үшін логистикалық инфрақұрылымды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контейнерлік тасымалдарды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инфрақұрылымды халықаралық көлік дәліздерімен интеграциялау (ОА, ТМД, ҚХР, ЕО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Астана, Ақтөбе, Шымкент, Ақтау және Қарағанды қалаларында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Астана, Ақтөбе,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(хабтар) құру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Ақтау және Қарағанды қалаларының әкімдіктері,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Реттеу саясаты және саланы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Терминалдар арасындағы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(келісу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кестелік байланыстар негізінде ішкі тасымалдарды дамыту үшін контейнерлік сервистерді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облыс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TRACECA қатысушы елдердің мемлекетаралық деңгейінде елдердің шекараларын кесіп өту кезінде жүкті қайта ресімдеу қажеттілігін болдырмау үшін барлық бағыт бойынша контейнерлік пойыздармен жүкқұжат ЦИМ/СМГС қолдану туралы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парктің бірыңғай дерекқорын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Контейнерлік тасымалдарды ұйымдастырудың бірыңғай тәсілдерін қалыптастыру және енгізу:</w:t>
            </w:r>
          </w:p>
          <w:bookmarkEnd w:id="12"/>
          <w:p>
            <w:pPr>
              <w:spacing w:after="20"/>
              <w:ind w:left="20"/>
              <w:jc w:val="both"/>
            </w:pPr>
            <w:r>
              <w:rPr>
                <w:rFonts w:ascii="Times New Roman"/>
                <w:b w:val="false"/>
                <w:i w:val="false"/>
                <w:color w:val="000000"/>
                <w:sz w:val="20"/>
              </w:rPr>
              <w:t xml:space="preserve">
контейнерлерді қауіпсіз пайдалануға, техникалық жай-күйіне және жөндеуге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талаптарды қалыптастыру;</w:t>
            </w:r>
          </w:p>
          <w:bookmarkEnd w:id="13"/>
          <w:p>
            <w:pPr>
              <w:spacing w:after="20"/>
              <w:ind w:left="20"/>
              <w:jc w:val="both"/>
            </w:pPr>
            <w:r>
              <w:rPr>
                <w:rFonts w:ascii="Times New Roman"/>
                <w:b w:val="false"/>
                <w:i w:val="false"/>
                <w:color w:val="000000"/>
                <w:sz w:val="20"/>
              </w:rPr>
              <w:t>
контейнерлерді есепке алу мен таңбалауға қойылатын талаптарды регламенттеу;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Тасымалдау процесіне қатысушылармен олардың өзара іс-қимылын ретке келтіруге бағытталған көлік-логистикалық орталықтардың қызметіне бірыңғай тәсілдерді қалыптастыру және енгізу, сондай-ақ инфрақұрылымға қойылатын талаптарды және контейнерлік тасымалдау саласында қызметтер көрсету тәртібін айқындау, оның ішінде бос жүрісті регламенттеу</w:t>
            </w:r>
          </w:p>
          <w:bookmarkEnd w:id="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тасымалдарды жобалауға, пайдалануға және олардың тиімділігін бағалауға бірыңғай тәсілді қалыптастыру және енгізу, соның ішінде контейнерлендіру деңгейінің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контейнерлік поезға тек біртекті жүкке бір декларация беру бөлігінде кедендік жүктерді декларациялау рәсімін оңайлату (бір жөнелту станциясы, бір жүк жөнелтуші, бір мемлекетаралық түйісу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 дамыту, оның ішінде "жасыл" дәлізді енгізу үшін әкімшілік кедергілерді азайту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КМ,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логистика саласындағы мамандардың құзыреттілігін арттыру және кәсіби тәжірибесін дамыту, сондай-ақ мамандандырылған білім беру бағдарламаларын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жүктерді қабылдауға, өңдеуге және жөнелтуге рұқсат етілген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ҚТЖ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мен терминалдарына талаптар жүйесінің стандарттары мен параметрлерін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Фитингтік платформалардың қажетті паркіне және отандық вагон құрылысы зауыттарының мүмкіндіктеріне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контейнерлер өндірісін ұйымдастыру мәселесін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Контейнерлеуді дамытуға бағытталған инновациялық, ғылыми және стартап-жобаларды іске асыру үшін отандық және шетелдік қаржы ұйымдарын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Тарифтік саясат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Контейнерлеу деңгейі 15 %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(келісу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жеткенге дейін контейнерлерде жүктерді тасымалдау тарифтерінің қолданыстағы деңгейін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қосалқы сілтемелермен жүктелуін барынша азайту мақсатында бос контейнерлердің қалыптасуы басым өңірлерден экспорттық контейнерлік бағыттар үшін экономикалық орындылығын және (немесе) субсидияларды ескере отырып жеңілдіктер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теңіз порттарында контейнерлерді тасымалдау тарифтерін белгілеудің бірыңғай қағидаттарын қалыптастыру мен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Цифрландыру және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контейнерлік тасымалдарға қатысатын барлық мүдделі тараптар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деректер алмасу үшін электрондық теміржол ЦИМ/СМГС жүкқұжаттарын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 онлайн жоспарлау, мөлшерлемелерді есептеу және тасымалдарды ресімдеу үшін тасымалдау процесіне қатысушыларға ашық қолжетімділігі бар цифрлық экспедиторды енгізуді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платформа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КМ, ЖИЦДМ,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бюджетінен тыс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тізілімін (ЖБ) цифрландыруды қоса алғанда, жылжымалы құрамды техникалық тексеру мен жөндеуді цифрлық есепке алу және бақылау жүйесін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КМ,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3" w:id="15"/>
    <w:p>
      <w:pPr>
        <w:spacing w:after="0"/>
        <w:ind w:left="0"/>
        <w:jc w:val="left"/>
      </w:pPr>
      <w:r>
        <w:rPr>
          <w:rFonts w:ascii="Times New Roman"/>
          <w:b/>
          <w:i w:val="false"/>
          <w:color w:val="000000"/>
        </w:rPr>
        <w:t xml:space="preserve"> Ескертпе: аббревиатуралардың толық жазылуы:</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ЦИМ/</w:t>
            </w:r>
          </w:p>
          <w:bookmarkEnd w:id="16"/>
          <w:p>
            <w:pPr>
              <w:spacing w:after="20"/>
              <w:ind w:left="20"/>
              <w:jc w:val="both"/>
            </w:pPr>
            <w:r>
              <w:rPr>
                <w:rFonts w:ascii="Times New Roman"/>
                <w:b w:val="false"/>
                <w:i w:val="false"/>
                <w:color w:val="000000"/>
                <w:sz w:val="20"/>
              </w:rPr>
              <w:t>
СМГС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мен ТМД/Азия елдері арасында тасымалдау үшін пайдаланылатын бірыңғай халықаралық теміржол жүкқұжаты;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есепке алуға, жөндеуге және техникалық қызмет көрсетуге байланысты бастапқы құжаттама нысандары;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