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dfea" w14:textId="660d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2026 жылғы 29 сәуірдегі № 347 қаулысы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1"/>
    <w:p>
      <w:pPr>
        <w:spacing w:after="0"/>
        <w:ind w:left="0"/>
        <w:jc w:val="both"/>
      </w:pPr>
      <w:r>
        <w:rPr>
          <w:rFonts w:ascii="Times New Roman"/>
          <w:b w:val="false"/>
          <w:i w:val="false"/>
          <w:color w:val="000000"/>
          <w:sz w:val="28"/>
        </w:rPr>
        <w:t>
      Қазақстан Республикасының Үкіметі ҚАУЛЫ ЕТЕДІ:</w:t>
      </w:r>
    </w:p>
    <w:bookmarkEnd w:id="1"/>
    <w:bookmarkStart w:name="z7" w:id="2"/>
    <w:p>
      <w:pPr>
        <w:spacing w:after="0"/>
        <w:ind w:left="0"/>
        <w:jc w:val="both"/>
      </w:pPr>
      <w:r>
        <w:rPr>
          <w:rFonts w:ascii="Times New Roman"/>
          <w:b w:val="false"/>
          <w:i w:val="false"/>
          <w:color w:val="000000"/>
          <w:sz w:val="28"/>
        </w:rPr>
        <w:t xml:space="preserve">
      1.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"2. Осы Қағидаларда пайдаланылатын негізгі ұғымдар:</w:t>
      </w:r>
    </w:p>
    <w:bookmarkEnd w:id="4"/>
    <w:bookmarkStart w:name="z11" w:id="5"/>
    <w:p>
      <w:pPr>
        <w:spacing w:after="0"/>
        <w:ind w:left="0"/>
        <w:jc w:val="both"/>
      </w:pPr>
      <w:r>
        <w:rPr>
          <w:rFonts w:ascii="Times New Roman"/>
          <w:b w:val="false"/>
          <w:i w:val="false"/>
          <w:color w:val="000000"/>
          <w:sz w:val="28"/>
        </w:rPr>
        <w:t>
      1) аудандық уәкілетті орган – аудандық коммуналдық мүлікке билік етуге уәкілеттік берілген, жергілікті бюджеттен қаржыландырылатын атқарушы орган;</w:t>
      </w:r>
    </w:p>
    <w:bookmarkEnd w:id="5"/>
    <w:bookmarkStart w:name="z12" w:id="6"/>
    <w:p>
      <w:pPr>
        <w:spacing w:after="0"/>
        <w:ind w:left="0"/>
        <w:jc w:val="both"/>
      </w:pPr>
      <w:r>
        <w:rPr>
          <w:rFonts w:ascii="Times New Roman"/>
          <w:b w:val="false"/>
          <w:i w:val="false"/>
          <w:color w:val="000000"/>
          <w:sz w:val="28"/>
        </w:rPr>
        <w:t>
      2) даму жоспары – мемлекеттік кәсіпорын, акционерлік қоғам мен акцияларының бақылау пакеті (жарғылық капиталға қатысу үлесі) мемлекетке тиесілі жауапкершілігі шектеулі серіктестік қызметінің бесжылдық кезеңге арналған негізгі бағыттарын және қаржы-шаруашылық қызметінің көрсеткіштерін айқындайтын құжат;</w:t>
      </w:r>
    </w:p>
    <w:bookmarkEnd w:id="6"/>
    <w:bookmarkStart w:name="z13" w:id="7"/>
    <w:p>
      <w:pPr>
        <w:spacing w:after="0"/>
        <w:ind w:left="0"/>
        <w:jc w:val="both"/>
      </w:pPr>
      <w:r>
        <w:rPr>
          <w:rFonts w:ascii="Times New Roman"/>
          <w:b w:val="false"/>
          <w:i w:val="false"/>
          <w:color w:val="000000"/>
          <w:sz w:val="28"/>
        </w:rPr>
        <w:t>
      3) жергілікті өзін-өзі басқарудың коммуналдық мүлік жөніндегі уәкілетті органы – аудандық маңызы бар қала, ауыл, кент, ауылдық округ әкімінің аппараты;</w:t>
      </w:r>
    </w:p>
    <w:bookmarkEnd w:id="7"/>
    <w:bookmarkStart w:name="z14" w:id="8"/>
    <w:p>
      <w:pPr>
        <w:spacing w:after="0"/>
        <w:ind w:left="0"/>
        <w:jc w:val="both"/>
      </w:pPr>
      <w:r>
        <w:rPr>
          <w:rFonts w:ascii="Times New Roman"/>
          <w:b w:val="false"/>
          <w:i w:val="false"/>
          <w:color w:val="000000"/>
          <w:sz w:val="28"/>
        </w:rPr>
        <w:t>
      4)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мемлекеттік мүлікті есепке алудың бірыңғай цифрлық автоматтандырылған жүйесі;</w:t>
      </w:r>
    </w:p>
    <w:bookmarkEnd w:id="8"/>
    <w:bookmarkStart w:name="z15" w:id="9"/>
    <w:p>
      <w:pPr>
        <w:spacing w:after="0"/>
        <w:ind w:left="0"/>
        <w:jc w:val="both"/>
      </w:pPr>
      <w:r>
        <w:rPr>
          <w:rFonts w:ascii="Times New Roman"/>
          <w:b w:val="false"/>
          <w:i w:val="false"/>
          <w:color w:val="000000"/>
          <w:sz w:val="28"/>
        </w:rPr>
        <w:t>
      5) мониторинг объектісі – "Самұрық-Қазына" ұлттық әл-ауқат қоры" акционерлік қоғамын қоспағанда, мемлекеттік кәсіпорындар, мемлекет қатысатын заңды тұлғалар, мемлекеттік мүлік құрамына кіретін, оның ішінде сенімгерлік басқарудағы, мүліктік жалдаудағы (жалға алудағы), концессиядағы не мемлекеттік-жекешелік әріптестік шарты бойынша берілген мүліктің барлық түрі;</w:t>
      </w:r>
    </w:p>
    <w:bookmarkEnd w:id="9"/>
    <w:bookmarkStart w:name="z16" w:id="10"/>
    <w:p>
      <w:pPr>
        <w:spacing w:after="0"/>
        <w:ind w:left="0"/>
        <w:jc w:val="both"/>
      </w:pPr>
      <w:r>
        <w:rPr>
          <w:rFonts w:ascii="Times New Roman"/>
          <w:b w:val="false"/>
          <w:i w:val="false"/>
          <w:color w:val="000000"/>
          <w:sz w:val="28"/>
        </w:rPr>
        <w:t>
      6) мониторинг субъектілері – мемлекеттік мүлікті басқару жөніндегі уәкілетті орган, облыстық уәкілетті орган, аудандық уәкілетті орган, жергілікті өзін-өзі басқарудың коммуналдық мүлкі бойынша уәкілетті орган;</w:t>
      </w:r>
    </w:p>
    <w:bookmarkEnd w:id="10"/>
    <w:bookmarkStart w:name="z17" w:id="11"/>
    <w:p>
      <w:pPr>
        <w:spacing w:after="0"/>
        <w:ind w:left="0"/>
        <w:jc w:val="both"/>
      </w:pPr>
      <w:r>
        <w:rPr>
          <w:rFonts w:ascii="Times New Roman"/>
          <w:b w:val="false"/>
          <w:i w:val="false"/>
          <w:color w:val="000000"/>
          <w:sz w:val="28"/>
        </w:rPr>
        <w:t>
      7) облыстық уәкілетті орган – облыстық коммуналдық мүлікке билік етуге уәкілеттік берілген, жергілікті бюджеттен қаржыландырылатын атқарушы орган;</w:t>
      </w:r>
    </w:p>
    <w:bookmarkEnd w:id="11"/>
    <w:bookmarkStart w:name="z18" w:id="12"/>
    <w:p>
      <w:pPr>
        <w:spacing w:after="0"/>
        <w:ind w:left="0"/>
        <w:jc w:val="both"/>
      </w:pPr>
      <w:r>
        <w:rPr>
          <w:rFonts w:ascii="Times New Roman"/>
          <w:b w:val="false"/>
          <w:i w:val="false"/>
          <w:color w:val="000000"/>
          <w:sz w:val="28"/>
        </w:rPr>
        <w:t>
      8) іс-шаралар жоспары – ұлттық басқарушы холдинг, ұлттық холдинг және ұлттық компания қызметінің бесжылдық кезеңге арналған негізгі бағыттарын және қаржы-шаруашылық қызметінің көрсеткіштерін айқындайтын құжат.";</w:t>
      </w:r>
    </w:p>
    <w:bookmarkEnd w:id="12"/>
    <w:bookmarkStart w:name="z19" w:id="1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
    <w:bookmarkStart w:name="z20" w:id="14"/>
    <w:p>
      <w:pPr>
        <w:spacing w:after="0"/>
        <w:ind w:left="0"/>
        <w:jc w:val="both"/>
      </w:pPr>
      <w:r>
        <w:rPr>
          <w:rFonts w:ascii="Times New Roman"/>
          <w:b w:val="false"/>
          <w:i w:val="false"/>
          <w:color w:val="000000"/>
          <w:sz w:val="28"/>
        </w:rPr>
        <w:t>
      "4) тізілім порталында ("NATIJE" қосалқы сервисі) мониторинг объектілері бойынша цифрлық дерекқорды қалыптастыру және жүргізу;";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"11. Мониторинг субъектілері мониторингті жүзеге асыру мақсатында:</w:t>
      </w:r>
    </w:p>
    <w:bookmarkEnd w:id="15"/>
    <w:bookmarkStart w:name="z23" w:id="16"/>
    <w:p>
      <w:pPr>
        <w:spacing w:after="0"/>
        <w:ind w:left="0"/>
        <w:jc w:val="both"/>
      </w:pPr>
      <w:r>
        <w:rPr>
          <w:rFonts w:ascii="Times New Roman"/>
          <w:b w:val="false"/>
          <w:i w:val="false"/>
          <w:color w:val="000000"/>
          <w:sz w:val="28"/>
        </w:rPr>
        <w:t>
      1)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Премьер-Министрінің орынбасары – Ұлттық экономика министрінің 2025 жылғы 30 сәуірдегі №18 бұйрығына сәйкес әзірленген және тізілімде ұсынылған мемлекет бақылайтын акционерлік қоғамдардың, жауапкершілігі шектеулі серіктестіктердің, мемлекеттік кәсіпорындардың даму жоспарларының орындалуы жөніндегі есептерде;</w:t>
      </w:r>
    </w:p>
    <w:bookmarkEnd w:id="16"/>
    <w:bookmarkStart w:name="z24" w:id="17"/>
    <w:p>
      <w:pPr>
        <w:spacing w:after="0"/>
        <w:ind w:left="0"/>
        <w:jc w:val="both"/>
      </w:pPr>
      <w:r>
        <w:rPr>
          <w:rFonts w:ascii="Times New Roman"/>
          <w:b w:val="false"/>
          <w:i w:val="false"/>
          <w:color w:val="000000"/>
          <w:sz w:val="28"/>
        </w:rPr>
        <w:t>
      2) Қазақстан Республикасы Премьер-Министрінің орынбасары – Ұлттық экономика министрінің "Ұлттық басқарушы холдингтердің, ұлттық холдингтер мен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бойынша есептерді әзірлеу және ұсыну қағидаларын бекіту туралы" 2025 жылғы 30 сәуірдегі № 22 және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мониторингілеу және бағалау қағидаларын бекіту туралы" 2025 жылғы 30 сәуірдегі 23  бұйрықтарына сәйкес әзірленген және тізілімде ұсынылған акционері мемлекет болып табылатын ұлттық басқарушы холдингтердің, ұлттық холдингтер мен ұлттық компаниялардың даму жоспарларының орындалуы жөніндегі есептерде қамтылған қаржы-шаруашылық қызметтің көрсеткіштері негізінде тізілімде орналастырылған мониторинг объектілерінің тізбесіне сәйкес жыл сайын талдау жүргізеді.";</w:t>
      </w:r>
    </w:p>
    <w:bookmarkEnd w:id="17"/>
    <w:bookmarkStart w:name="z25" w:id="18"/>
    <w:p>
      <w:pPr>
        <w:spacing w:after="0"/>
        <w:ind w:left="0"/>
        <w:jc w:val="both"/>
      </w:pPr>
      <w:r>
        <w:rPr>
          <w:rFonts w:ascii="Times New Roman"/>
          <w:b w:val="false"/>
          <w:i w:val="false"/>
          <w:color w:val="000000"/>
          <w:sz w:val="28"/>
        </w:rPr>
        <w:t>
      мынадай мазмұндағы 4-тараумен толықтырылсын:</w:t>
      </w:r>
    </w:p>
    <w:bookmarkEnd w:id="18"/>
    <w:bookmarkStart w:name="z26" w:id="19"/>
    <w:p>
      <w:pPr>
        <w:spacing w:after="0"/>
        <w:ind w:left="0"/>
        <w:jc w:val="both"/>
      </w:pPr>
      <w:r>
        <w:rPr>
          <w:rFonts w:ascii="Times New Roman"/>
          <w:b w:val="false"/>
          <w:i w:val="false"/>
          <w:color w:val="000000"/>
          <w:sz w:val="28"/>
        </w:rPr>
        <w:t>
      "4-тарау. Жер учаскелері, жер қойнауын пайдалану учаскелері, орман және аңшылық алқаптары, су шаруашылығы құрылысжайлары, сондай-ақ су объектілері түріндегі мемлекеттік мүлік объектілеріне мониторингті жүзеге асыру тәртібі</w:t>
      </w:r>
    </w:p>
    <w:bookmarkEnd w:id="19"/>
    <w:bookmarkStart w:name="z27" w:id="20"/>
    <w:p>
      <w:pPr>
        <w:spacing w:after="0"/>
        <w:ind w:left="0"/>
        <w:jc w:val="both"/>
      </w:pPr>
      <w:r>
        <w:rPr>
          <w:rFonts w:ascii="Times New Roman"/>
          <w:b w:val="false"/>
          <w:i w:val="false"/>
          <w:color w:val="000000"/>
          <w:sz w:val="28"/>
        </w:rPr>
        <w:t>
      20. Жер учаскелері, жер қойнауын пайдалану учаскелері, орман және аңшылық алқаптары, су шаруашылығы құрылысжайлары, сондай-ақ су объектілері түріндегі мемлекеттік мүлік объектілерін мониторингтеу Жерді қашықтан зондтау деректері арқылы жүзеге асырылады.</w:t>
      </w:r>
    </w:p>
    <w:bookmarkEnd w:id="20"/>
    <w:bookmarkStart w:name="z28" w:id="21"/>
    <w:p>
      <w:pPr>
        <w:spacing w:after="0"/>
        <w:ind w:left="0"/>
        <w:jc w:val="both"/>
      </w:pPr>
      <w:r>
        <w:rPr>
          <w:rFonts w:ascii="Times New Roman"/>
          <w:b w:val="false"/>
          <w:i w:val="false"/>
          <w:color w:val="000000"/>
          <w:sz w:val="28"/>
        </w:rPr>
        <w:t xml:space="preserve">
      21. Жер ресурстарын басқару, жер қойнауын зерттеу және пайдалану, орман шаруашылығы мен жануарлар дүниесі, су қорын қорғау және пайдалану саласындағы уәкілетті мемлекеттік органдар күнтізбелік жылда бір реттен сиретпей, есепті жылдан кейінгі жылдың 25 қаңтарынан кешіктірмей тізілімде ақпаратты толтыру және пайдаланылатын цифрлық жүйелердің тізіліммен интеграциялық өзара іс-қимылы арқылы тізілімге жер учаскелері, жер қойнауын пайдалану учаскелері, орман және аңшылық алқаптары, су шаруашылығы құрылысжайлары мен гидротехникалық құрылысжайлар, су объектілері түріндегі мониторинг объектілерін мемлекеттік бақылау және қадағалау нәтижелері бойынша ақпарат ұсынады. </w:t>
      </w:r>
    </w:p>
    <w:bookmarkEnd w:id="21"/>
    <w:bookmarkStart w:name="z29" w:id="22"/>
    <w:p>
      <w:pPr>
        <w:spacing w:after="0"/>
        <w:ind w:left="0"/>
        <w:jc w:val="both"/>
      </w:pPr>
      <w:r>
        <w:rPr>
          <w:rFonts w:ascii="Times New Roman"/>
          <w:b w:val="false"/>
          <w:i w:val="false"/>
          <w:color w:val="000000"/>
          <w:sz w:val="28"/>
        </w:rPr>
        <w:t xml:space="preserve">
      22. Салалық уәкілетті органдар учаскелер объектісінің (танап, жайылым, блок, мөлдек, су шаруашылығы құрылысжайы мен гидротехникалық құрылысжай, су айдыны) орналасқан жері мен шекарасын көздейтін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объектілерді геоақпараттық есепке алуды қамтамасыз етеді.</w:t>
      </w:r>
    </w:p>
    <w:bookmarkEnd w:id="22"/>
    <w:bookmarkStart w:name="z30" w:id="23"/>
    <w:p>
      <w:pPr>
        <w:spacing w:after="0"/>
        <w:ind w:left="0"/>
        <w:jc w:val="both"/>
      </w:pPr>
      <w:r>
        <w:rPr>
          <w:rFonts w:ascii="Times New Roman"/>
          <w:b w:val="false"/>
          <w:i w:val="false"/>
          <w:color w:val="000000"/>
          <w:sz w:val="28"/>
        </w:rPr>
        <w:t xml:space="preserve">
      23. Мемлекеттің меншігіндегі, оның ішінде мүліктік жалдауға (жалға алуға) немесе сенімгерлік басқаруға берілген су шаруашылығы құрылысжайлары мен гидротехникалық құрылысжайлардың меншік иелері (иеленушілері)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тізілімде құрылысжайлар туралы мәліметтерді енгізуді және өзектілендіруді қамтамасыз етеді.</w:t>
      </w:r>
    </w:p>
    <w:bookmarkEnd w:id="23"/>
    <w:bookmarkStart w:name="z31" w:id="24"/>
    <w:p>
      <w:pPr>
        <w:spacing w:after="0"/>
        <w:ind w:left="0"/>
        <w:jc w:val="both"/>
      </w:pPr>
      <w:r>
        <w:rPr>
          <w:rFonts w:ascii="Times New Roman"/>
          <w:b w:val="false"/>
          <w:i w:val="false"/>
          <w:color w:val="000000"/>
          <w:sz w:val="28"/>
        </w:rPr>
        <w:t>
       24. Нақты деректер мен Жерді қашықтан зондтау деректері арасында алшақтықтар анықталған кезде мониторинг субъектісі:</w:t>
      </w:r>
    </w:p>
    <w:bookmarkEnd w:id="24"/>
    <w:bookmarkStart w:name="z32" w:id="25"/>
    <w:p>
      <w:pPr>
        <w:spacing w:after="0"/>
        <w:ind w:left="0"/>
        <w:jc w:val="both"/>
      </w:pPr>
      <w:r>
        <w:rPr>
          <w:rFonts w:ascii="Times New Roman"/>
          <w:b w:val="false"/>
          <w:i w:val="false"/>
          <w:color w:val="000000"/>
          <w:sz w:val="28"/>
        </w:rPr>
        <w:t>
      1) алшақтықтардың себептерін талдайды және техникалық сәйкессіздік болған жағдайда тізілімдегі деректерді өзектілендіреді;</w:t>
      </w:r>
    </w:p>
    <w:bookmarkEnd w:id="25"/>
    <w:bookmarkStart w:name="z33" w:id="26"/>
    <w:p>
      <w:pPr>
        <w:spacing w:after="0"/>
        <w:ind w:left="0"/>
        <w:jc w:val="both"/>
      </w:pPr>
      <w:r>
        <w:rPr>
          <w:rFonts w:ascii="Times New Roman"/>
          <w:b w:val="false"/>
          <w:i w:val="false"/>
          <w:color w:val="000000"/>
          <w:sz w:val="28"/>
        </w:rPr>
        <w:t xml:space="preserve">
      2) объектілерді тиімсіз пайдалану фактілері анықталған кезде Қазақстан Республикасы Жер кодексінің </w:t>
      </w:r>
      <w:r>
        <w:rPr>
          <w:rFonts w:ascii="Times New Roman"/>
          <w:b w:val="false"/>
          <w:i w:val="false"/>
          <w:color w:val="000000"/>
          <w:sz w:val="28"/>
        </w:rPr>
        <w:t>145-1-бабына</w:t>
      </w:r>
      <w:r>
        <w:rPr>
          <w:rFonts w:ascii="Times New Roman"/>
          <w:b w:val="false"/>
          <w:i w:val="false"/>
          <w:color w:val="000000"/>
          <w:sz w:val="28"/>
        </w:rPr>
        <w:t xml:space="preserve"> сәйкес шаралар қабылдау үшін ақпаратты тиісті уәкілетті мемлекеттік органға береді.".</w:t>
      </w:r>
    </w:p>
    <w:bookmarkEnd w:id="26"/>
    <w:bookmarkStart w:name="z34" w:id="27"/>
    <w:p>
      <w:pPr>
        <w:spacing w:after="0"/>
        <w:ind w:left="0"/>
        <w:jc w:val="both"/>
      </w:pPr>
      <w:r>
        <w:rPr>
          <w:rFonts w:ascii="Times New Roman"/>
          <w:b w:val="false"/>
          <w:i w:val="false"/>
          <w:color w:val="000000"/>
          <w:sz w:val="28"/>
        </w:rPr>
        <w:t xml:space="preserve">
      2. Осы қаулы 2026 жылғы 12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сегізінші, он үшінші, он төртінші, он тоғызыншы, жиырмасыншы, жиырма бірінші, жиырма екінші, жиырма үшінші, жиырма төртінші, жиырма бесінші, жиырма алтыншы және жиырма жетінші тармақтарын қоспағанда,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