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759d" w14:textId="fc07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 және сату жүргізілетін халықаралық тауар биржаларының тізбесін бекіту туралы</w:t>
      </w:r>
    </w:p>
    <w:p>
      <w:pPr>
        <w:spacing w:after="0"/>
        <w:ind w:left="0"/>
        <w:jc w:val="both"/>
      </w:pPr>
      <w:r>
        <w:rPr>
          <w:rFonts w:ascii="Times New Roman"/>
          <w:b w:val="false"/>
          <w:i w:val="false"/>
          <w:color w:val="000000"/>
          <w:sz w:val="28"/>
        </w:rPr>
        <w:t>Қазақстан Республикасы Үкіметінің 2026 жылғы 13 сәуірдегі № 260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41-бабы</w:t>
      </w:r>
      <w:r>
        <w:rPr>
          <w:rFonts w:ascii="Times New Roman"/>
          <w:b w:val="false"/>
          <w:i w:val="false"/>
          <w:color w:val="000000"/>
          <w:sz w:val="28"/>
        </w:rPr>
        <w:t xml:space="preserve"> 3-тармағының екінші бөлігіне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 және сату жүргізілетін халықаралық тауар биржаларының мына тізбесі бекітілсін:</w:t>
      </w:r>
    </w:p>
    <w:bookmarkEnd w:id="1"/>
    <w:bookmarkStart w:name="z6" w:id="2"/>
    <w:p>
      <w:pPr>
        <w:spacing w:after="0"/>
        <w:ind w:left="0"/>
        <w:jc w:val="both"/>
      </w:pPr>
      <w:r>
        <w:rPr>
          <w:rFonts w:ascii="Times New Roman"/>
          <w:b w:val="false"/>
          <w:i w:val="false"/>
          <w:color w:val="000000"/>
          <w:sz w:val="28"/>
        </w:rPr>
        <w:t>
      1) Australian Securities Exchange;</w:t>
      </w:r>
    </w:p>
    <w:bookmarkEnd w:id="2"/>
    <w:bookmarkStart w:name="z7" w:id="3"/>
    <w:p>
      <w:pPr>
        <w:spacing w:after="0"/>
        <w:ind w:left="0"/>
        <w:jc w:val="both"/>
      </w:pPr>
      <w:r>
        <w:rPr>
          <w:rFonts w:ascii="Times New Roman"/>
          <w:b w:val="false"/>
          <w:i w:val="false"/>
          <w:color w:val="000000"/>
          <w:sz w:val="28"/>
        </w:rPr>
        <w:t>
      2) Bursa Malaysia;</w:t>
      </w:r>
    </w:p>
    <w:bookmarkEnd w:id="3"/>
    <w:bookmarkStart w:name="z8" w:id="4"/>
    <w:p>
      <w:pPr>
        <w:spacing w:after="0"/>
        <w:ind w:left="0"/>
        <w:jc w:val="both"/>
      </w:pPr>
      <w:r>
        <w:rPr>
          <w:rFonts w:ascii="Times New Roman"/>
          <w:b w:val="false"/>
          <w:i w:val="false"/>
          <w:color w:val="000000"/>
          <w:sz w:val="28"/>
        </w:rPr>
        <w:t>
      3) CME Group;</w:t>
      </w:r>
    </w:p>
    <w:bookmarkEnd w:id="4"/>
    <w:bookmarkStart w:name="z9" w:id="5"/>
    <w:p>
      <w:pPr>
        <w:spacing w:after="0"/>
        <w:ind w:left="0"/>
        <w:jc w:val="both"/>
      </w:pPr>
      <w:r>
        <w:rPr>
          <w:rFonts w:ascii="Times New Roman"/>
          <w:b w:val="false"/>
          <w:i w:val="false"/>
          <w:color w:val="000000"/>
          <w:sz w:val="28"/>
        </w:rPr>
        <w:t>
      4) Dalian Commodity Exchange;</w:t>
      </w:r>
    </w:p>
    <w:bookmarkEnd w:id="5"/>
    <w:bookmarkStart w:name="z10" w:id="6"/>
    <w:p>
      <w:pPr>
        <w:spacing w:after="0"/>
        <w:ind w:left="0"/>
        <w:jc w:val="both"/>
      </w:pPr>
      <w:r>
        <w:rPr>
          <w:rFonts w:ascii="Times New Roman"/>
          <w:b w:val="false"/>
          <w:i w:val="false"/>
          <w:color w:val="000000"/>
          <w:sz w:val="28"/>
        </w:rPr>
        <w:t>
      5) European Exchange (Eurex);</w:t>
      </w:r>
    </w:p>
    <w:bookmarkEnd w:id="6"/>
    <w:bookmarkStart w:name="z11" w:id="7"/>
    <w:p>
      <w:pPr>
        <w:spacing w:after="0"/>
        <w:ind w:left="0"/>
        <w:jc w:val="both"/>
      </w:pPr>
      <w:r>
        <w:rPr>
          <w:rFonts w:ascii="Times New Roman"/>
          <w:b w:val="false"/>
          <w:i w:val="false"/>
          <w:color w:val="000000"/>
          <w:sz w:val="28"/>
        </w:rPr>
        <w:t>
      6) Hong Kong Exchanges and Clearing;</w:t>
      </w:r>
    </w:p>
    <w:bookmarkEnd w:id="7"/>
    <w:bookmarkStart w:name="z12" w:id="8"/>
    <w:p>
      <w:pPr>
        <w:spacing w:after="0"/>
        <w:ind w:left="0"/>
        <w:jc w:val="both"/>
      </w:pPr>
      <w:r>
        <w:rPr>
          <w:rFonts w:ascii="Times New Roman"/>
          <w:b w:val="false"/>
          <w:i w:val="false"/>
          <w:color w:val="000000"/>
          <w:sz w:val="28"/>
        </w:rPr>
        <w:t>
      7) ICE Futures Europe;</w:t>
      </w:r>
    </w:p>
    <w:bookmarkEnd w:id="8"/>
    <w:bookmarkStart w:name="z13" w:id="9"/>
    <w:p>
      <w:pPr>
        <w:spacing w:after="0"/>
        <w:ind w:left="0"/>
        <w:jc w:val="both"/>
      </w:pPr>
      <w:r>
        <w:rPr>
          <w:rFonts w:ascii="Times New Roman"/>
          <w:b w:val="false"/>
          <w:i w:val="false"/>
          <w:color w:val="000000"/>
          <w:sz w:val="28"/>
        </w:rPr>
        <w:t>
      8) ICE Futures U. S.;</w:t>
      </w:r>
    </w:p>
    <w:bookmarkEnd w:id="9"/>
    <w:bookmarkStart w:name="z14" w:id="10"/>
    <w:p>
      <w:pPr>
        <w:spacing w:after="0"/>
        <w:ind w:left="0"/>
        <w:jc w:val="both"/>
      </w:pPr>
      <w:r>
        <w:rPr>
          <w:rFonts w:ascii="Times New Roman"/>
          <w:b w:val="false"/>
          <w:i w:val="false"/>
          <w:color w:val="000000"/>
          <w:sz w:val="28"/>
        </w:rPr>
        <w:t>
      9) Korea Exchange;</w:t>
      </w:r>
    </w:p>
    <w:bookmarkEnd w:id="10"/>
    <w:bookmarkStart w:name="z15" w:id="11"/>
    <w:p>
      <w:pPr>
        <w:spacing w:after="0"/>
        <w:ind w:left="0"/>
        <w:jc w:val="both"/>
      </w:pPr>
      <w:r>
        <w:rPr>
          <w:rFonts w:ascii="Times New Roman"/>
          <w:b w:val="false"/>
          <w:i w:val="false"/>
          <w:color w:val="000000"/>
          <w:sz w:val="28"/>
        </w:rPr>
        <w:t>
      10) London Metal Exchange;</w:t>
      </w:r>
    </w:p>
    <w:bookmarkEnd w:id="11"/>
    <w:bookmarkStart w:name="z16" w:id="12"/>
    <w:p>
      <w:pPr>
        <w:spacing w:after="0"/>
        <w:ind w:left="0"/>
        <w:jc w:val="both"/>
      </w:pPr>
      <w:r>
        <w:rPr>
          <w:rFonts w:ascii="Times New Roman"/>
          <w:b w:val="false"/>
          <w:i w:val="false"/>
          <w:color w:val="000000"/>
          <w:sz w:val="28"/>
        </w:rPr>
        <w:t>
      11) LSE Group;</w:t>
      </w:r>
    </w:p>
    <w:bookmarkEnd w:id="12"/>
    <w:bookmarkStart w:name="z17" w:id="13"/>
    <w:p>
      <w:pPr>
        <w:spacing w:after="0"/>
        <w:ind w:left="0"/>
        <w:jc w:val="both"/>
      </w:pPr>
      <w:r>
        <w:rPr>
          <w:rFonts w:ascii="Times New Roman"/>
          <w:b w:val="false"/>
          <w:i w:val="false"/>
          <w:color w:val="000000"/>
          <w:sz w:val="28"/>
        </w:rPr>
        <w:t>
      12) NYSE Euronext;</w:t>
      </w:r>
    </w:p>
    <w:bookmarkEnd w:id="13"/>
    <w:bookmarkStart w:name="z18" w:id="14"/>
    <w:p>
      <w:pPr>
        <w:spacing w:after="0"/>
        <w:ind w:left="0"/>
        <w:jc w:val="both"/>
      </w:pPr>
      <w:r>
        <w:rPr>
          <w:rFonts w:ascii="Times New Roman"/>
          <w:b w:val="false"/>
          <w:i w:val="false"/>
          <w:color w:val="000000"/>
          <w:sz w:val="28"/>
        </w:rPr>
        <w:t>
      13) Shanghai Futures Exchange;</w:t>
      </w:r>
    </w:p>
    <w:bookmarkEnd w:id="14"/>
    <w:bookmarkStart w:name="z19" w:id="15"/>
    <w:p>
      <w:pPr>
        <w:spacing w:after="0"/>
        <w:ind w:left="0"/>
        <w:jc w:val="both"/>
      </w:pPr>
      <w:r>
        <w:rPr>
          <w:rFonts w:ascii="Times New Roman"/>
          <w:b w:val="false"/>
          <w:i w:val="false"/>
          <w:color w:val="000000"/>
          <w:sz w:val="28"/>
        </w:rPr>
        <w:t>
      14) Singapore Exchange;</w:t>
      </w:r>
    </w:p>
    <w:bookmarkEnd w:id="15"/>
    <w:bookmarkStart w:name="z20" w:id="16"/>
    <w:p>
      <w:pPr>
        <w:spacing w:after="0"/>
        <w:ind w:left="0"/>
        <w:jc w:val="both"/>
      </w:pPr>
      <w:r>
        <w:rPr>
          <w:rFonts w:ascii="Times New Roman"/>
          <w:b w:val="false"/>
          <w:i w:val="false"/>
          <w:color w:val="000000"/>
          <w:sz w:val="28"/>
        </w:rPr>
        <w:t>
      15) Tokyo Commodity Exchange;</w:t>
      </w:r>
    </w:p>
    <w:bookmarkEnd w:id="16"/>
    <w:bookmarkStart w:name="z21" w:id="17"/>
    <w:p>
      <w:pPr>
        <w:spacing w:after="0"/>
        <w:ind w:left="0"/>
        <w:jc w:val="both"/>
      </w:pPr>
      <w:r>
        <w:rPr>
          <w:rFonts w:ascii="Times New Roman"/>
          <w:b w:val="false"/>
          <w:i w:val="false"/>
          <w:color w:val="000000"/>
          <w:sz w:val="28"/>
        </w:rPr>
        <w:t>
      16) Zhengzhou Commodity Exchange.</w:t>
      </w:r>
    </w:p>
    <w:bookmarkEnd w:id="17"/>
    <w:bookmarkStart w:name="z22" w:id="18"/>
    <w:p>
      <w:pPr>
        <w:spacing w:after="0"/>
        <w:ind w:left="0"/>
        <w:jc w:val="both"/>
      </w:pPr>
      <w:r>
        <w:rPr>
          <w:rFonts w:ascii="Times New Roman"/>
          <w:b w:val="false"/>
          <w:i w:val="false"/>
          <w:color w:val="000000"/>
          <w:sz w:val="28"/>
        </w:rPr>
        <w:t xml:space="preserve">
      2. Қаржы нарығы мен қаржы ұйымдарын реттеу, бақылау және қадағалау жөніндегі уәкілетті орган осы қаулының 1-тармағында көрсетілген тізбеге енгізілген халықаралық тауар биржаларының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41-бабы</w:t>
      </w:r>
      <w:r>
        <w:rPr>
          <w:rFonts w:ascii="Times New Roman"/>
          <w:b w:val="false"/>
          <w:i w:val="false"/>
          <w:color w:val="000000"/>
          <w:sz w:val="28"/>
        </w:rPr>
        <w:t xml:space="preserve"> 3-тармағының бірінші бөлігінде белгіленген өлшемшарттарға сәйкестігіне жартыжылдық негізде мониторинг жүзеге асырып тұрсын.</w:t>
      </w:r>
    </w:p>
    <w:bookmarkEnd w:id="18"/>
    <w:bookmarkStart w:name="z23" w:id="19"/>
    <w:p>
      <w:pPr>
        <w:spacing w:after="0"/>
        <w:ind w:left="0"/>
        <w:jc w:val="both"/>
      </w:pPr>
      <w:r>
        <w:rPr>
          <w:rFonts w:ascii="Times New Roman"/>
          <w:b w:val="false"/>
          <w:i w:val="false"/>
          <w:color w:val="000000"/>
          <w:sz w:val="28"/>
        </w:rPr>
        <w:t xml:space="preserve">
      3. "Сауда делдалы ретіндегі жеке және заңды тұлғаларды тауарды кейіннен үшінші тұлғаға сату талаптарымен коммерциялық кредит беру жолымен қаржыландыру шеңберінде тауарды сатып алу және сату жүргізілетін халықаралық тауар биржаларының тізбесін бекіту туралы" Қазақстан Республикасы Үкіметінің 2015 жылғы 24 шілдедегі № 584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9"/>
    <w:bookmarkStart w:name="z24" w:id="2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