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ecfc" w14:textId="e15e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31 наурыздағы № 200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287-жол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"KOKSHE"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"Astana"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"Бәйтерек" ҰИХ"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"Qazaqstan Investment Corporation"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"QazBioPharm" ұлттық холдингі"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"Вагонсервис"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"Самұрық-Энерго"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"Samruk-Kazyna Construction"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"Самұрық-Қазына Инвест"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"SAMRUK- KAZYNA ONDEU"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республикалық және коммуналдық мемлекеттік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Astana Development Ltd жеке компаниясы;</w:t>
            </w:r>
          </w:p>
          <w:p>
            <w:pPr>
              <w:spacing w:after="20"/>
              <w:ind w:left="20"/>
              <w:jc w:val="both"/>
            </w:pPr>
            <w:r>
              <w:rPr>
                <w:rFonts w:ascii="Times New Roman"/>
                <w:b w:val="false"/>
                <w:i w:val="false"/>
                <w:color w:val="000000"/>
                <w:sz w:val="20"/>
              </w:rPr>
              <w:t>
18) "Kazyna Seriktes Ltd." жеке 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үнемі,</w:t>
            </w:r>
          </w:p>
          <w:bookmarkEnd w:id="6"/>
          <w:p>
            <w:pPr>
              <w:spacing w:after="20"/>
              <w:ind w:left="20"/>
              <w:jc w:val="both"/>
            </w:pPr>
            <w:r>
              <w:rPr>
                <w:rFonts w:ascii="Times New Roman"/>
                <w:b w:val="false"/>
                <w:i w:val="false"/>
                <w:color w:val="000000"/>
                <w:sz w:val="20"/>
              </w:rPr>
              <w:t>
"Kazyna Seriktes Ltd" жеке компаниясына қатысты 2030 жылғы 31 желтоқсанға дейін</w:t>
            </w:r>
          </w:p>
        </w:tc>
      </w:tr>
    </w:tbl>
    <w:bookmarkStart w:name="z27" w:id="7"/>
    <w:p>
      <w:pPr>
        <w:spacing w:after="0"/>
        <w:ind w:left="0"/>
        <w:jc w:val="both"/>
      </w:pPr>
      <w:r>
        <w:rPr>
          <w:rFonts w:ascii="Times New Roman"/>
          <w:b w:val="false"/>
          <w:i w:val="false"/>
          <w:color w:val="000000"/>
          <w:sz w:val="28"/>
        </w:rPr>
        <w:t>
      ";</w:t>
      </w:r>
    </w:p>
    <w:bookmarkEnd w:id="7"/>
    <w:bookmarkStart w:name="z28" w:id="8"/>
    <w:p>
      <w:pPr>
        <w:spacing w:after="0"/>
        <w:ind w:left="0"/>
        <w:jc w:val="both"/>
      </w:pPr>
      <w:r>
        <w:rPr>
          <w:rFonts w:ascii="Times New Roman"/>
          <w:b w:val="false"/>
          <w:i w:val="false"/>
          <w:color w:val="000000"/>
          <w:sz w:val="28"/>
        </w:rPr>
        <w:t>
      реттік нөмірі 293-жол мынадай редакцияда жазылсын:</w:t>
      </w:r>
    </w:p>
    <w:bookmarkEnd w:id="8"/>
    <w:bookmarkStart w:name="z29"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көрсетілетін қызметтер, экономиканың түрлі салаларындағы қаржыландыру, инвестициялық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1) "Baiterek Venture Fund" акционерлік қоғамы;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тұрғын үй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"Аграрлық несие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"KTZ Express"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"BV MANAGEMENT"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"Самұрық-Қазына Инвест"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"Qazaq Gas Qurylys"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"BGlobal Ventures Ltd." жеке компаниясы;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"Kokzhiyek Fund" Limited Partnership" тікелей инвестициялар қоры;</w:t>
            </w:r>
          </w:p>
          <w:p>
            <w:pPr>
              <w:spacing w:after="20"/>
              <w:ind w:left="20"/>
              <w:jc w:val="both"/>
            </w:pPr>
            <w:r>
              <w:rPr>
                <w:rFonts w:ascii="Times New Roman"/>
                <w:b w:val="false"/>
                <w:i w:val="false"/>
                <w:color w:val="000000"/>
                <w:sz w:val="20"/>
              </w:rPr>
              <w:t>
11) "Adal Fund" Limited Partnership." тікелей инвестициялар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bookmarkStart w:name="z40" w:id="11"/>
    <w:p>
      <w:pPr>
        <w:spacing w:after="0"/>
        <w:ind w:left="0"/>
        <w:jc w:val="both"/>
      </w:pPr>
      <w:r>
        <w:rPr>
          <w:rFonts w:ascii="Times New Roman"/>
          <w:b w:val="false"/>
          <w:i w:val="false"/>
          <w:color w:val="000000"/>
          <w:sz w:val="28"/>
        </w:rPr>
        <w:t>
      ".</w:t>
      </w:r>
    </w:p>
    <w:bookmarkEnd w:id="11"/>
    <w:bookmarkStart w:name="z41"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