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027" w14:textId="5778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желтоқсандағы № 1052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(Жалпы бөлімі)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Қазақстан Республикасы Төтенше жағдайлар министрлігінің пайдасына өтеусіз беру (сыйға тарту) арқылы "Ақтау халықаралық теңіз сауда порты" ұлттық компаниясы" акционерлік қоғамына иеліктен шығаруды жүзеге асыруға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"Ақтау халықаралық теңіз сауда порты" ұлттық компаниясы" акционерлік қоғамымен бірлесіп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Иеліктен шығаруға рұқсат етілетін стратегиялық объектілер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нөмірі/коды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мекенжайы (орналасқан жері)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193,4 шаршы метр әкімшілік ғимарат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000006028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165,5 шаршы метр "Қызыл бұрыш"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000006029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80,1 шаршы метр зат қоятын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000006030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20/3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229,1 шаршы метр қойма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000006033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20/2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780,1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тұрмыстық үй-жайлары бар өндірістік ғимарат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62,6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бақылау-өткізу пункті және қойма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36,7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дәнекерлеу цехы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25,8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айлақ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Түпқараған ауданы, Баутино ауылы, З.Дубский көшесі, 20/1 ғимарат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оңтүстік айлақ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 су резервуары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текше метр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74,1 шаршы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өртке қарсы резервуар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текше метр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74,1 шаршы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өртке қарсы резервуар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тазарту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L-245,8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тіреу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6341,0 шаршы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жүк сақтау алаңдарының бетон жабындысы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2411,5 шаршы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асфальт-бетон жабыны бар жолдар мен іргелес аумақ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2192,0 шаршы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рельс аралық бетон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 жинау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кран жолдары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H-20,0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прожекторлық діңгек № 1, 2,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Түпқараған ауданы, Баутино ауылы, З.Дубский көшесі, 20/1 ғимарат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L-6,4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L-5,4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103,2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кеспетасты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16,5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дизель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6,2 шаршы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электрқалқан (КТП)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000006167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L-93,0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байланыс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L-41,3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су құбыры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L-62,3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кәріз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L-33,0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газ құбыры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L-68,03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 құбыры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облысы, Түпқараған ауданы, Баутино ауылы, З.Дубский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L-577,0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электрмен жабдықтау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434,4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облысы, Түпқараған ауданы, Баутино ауылы, З.Дубский көшесі, 20/1 ғимарат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