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3bcd" w14:textId="3c43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22 қыркүйектегі № 784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"381)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әзірлеу және бекіту;";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"400)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әзірлеу және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"402) көппәтерлі тұрғын үйді басқарушыға қойылатын біліктілік талаптарын әзірлеу және бекіту;";</w:t>
      </w:r>
    </w:p>
    <w:bookmarkEnd w:id="5"/>
    <w:bookmarkStart w:name="z14" w:id="6"/>
    <w:p>
      <w:pPr>
        <w:spacing w:after="0"/>
        <w:ind w:left="0"/>
        <w:jc w:val="both"/>
      </w:pPr>
      <w:r>
        <w:rPr>
          <w:rFonts w:ascii="Times New Roman"/>
          <w:b w:val="false"/>
          <w:i w:val="false"/>
          <w:color w:val="000000"/>
          <w:sz w:val="28"/>
        </w:rPr>
        <w:t>
      мынадай мазмұндағы 405-1) тармақшамен толықтырылсын:</w:t>
      </w:r>
    </w:p>
    <w:bookmarkEnd w:id="6"/>
    <w:bookmarkStart w:name="z15" w:id="7"/>
    <w:p>
      <w:pPr>
        <w:spacing w:after="0"/>
        <w:ind w:left="0"/>
        <w:jc w:val="both"/>
      </w:pPr>
      <w:r>
        <w:rPr>
          <w:rFonts w:ascii="Times New Roman"/>
          <w:b w:val="false"/>
          <w:i w:val="false"/>
          <w:color w:val="000000"/>
          <w:sz w:val="28"/>
        </w:rPr>
        <w:t xml:space="preserve">
      "405-1)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үшін екінші деңгейдегі банктерге тұрғын үй құрылысына үлестік қатысудың бірыңғай ақпараттық жүйесіне қолжетімділікті қамтамасыз 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"412) тұрғын үй инспекциясының кондоминиум объектісін басқару үшін уақытша басқарушы компанияны айқындау және тағайындау қағидаларын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 тармақшалар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"441) тұрғын үй құрылысына үлестік қатысу саласындағы инжинирингтік компанияның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есебінің нысанын әзірлеу және бекіту;</w:t>
      </w:r>
    </w:p>
    <w:bookmarkEnd w:id="9"/>
    <w:bookmarkStart w:name="z20" w:id="10"/>
    <w:p>
      <w:pPr>
        <w:spacing w:after="0"/>
        <w:ind w:left="0"/>
        <w:jc w:val="both"/>
      </w:pPr>
      <w:r>
        <w:rPr>
          <w:rFonts w:ascii="Times New Roman"/>
          <w:b w:val="false"/>
          <w:i w:val="false"/>
          <w:color w:val="000000"/>
          <w:sz w:val="28"/>
        </w:rPr>
        <w:t>
      442) бірыңғай оператордың көппәтерлі тұрғын үйдің (тұрғын ғимараттың) немесе жеке тұрғын үйлер кешенің құрылыс жобасы бойынша құжаттарды тексеру тәртібін әзірлеу және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455)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"455) кондоминиум объектісін басқару жөніндегі қағидаларды әзірлеу және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 тармақша</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"458)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 тармақша</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"463)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 тармақша</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"466) кондоминиум объектісін басқарудың үлгілік шартын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 тармақша</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"468)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әзірлеу және бекіту;";</w:t>
      </w:r>
    </w:p>
    <w:bookmarkEnd w:id="15"/>
    <w:bookmarkStart w:name="z33" w:id="16"/>
    <w:p>
      <w:pPr>
        <w:spacing w:after="0"/>
        <w:ind w:left="0"/>
        <w:jc w:val="both"/>
      </w:pPr>
      <w:r>
        <w:rPr>
          <w:rFonts w:ascii="Times New Roman"/>
          <w:b w:val="false"/>
          <w:i w:val="false"/>
          <w:color w:val="000000"/>
          <w:sz w:val="28"/>
        </w:rPr>
        <w:t>
      мынадай мазмұндағы 494-7) тармақшамен толықтырылсын:</w:t>
      </w:r>
    </w:p>
    <w:bookmarkEnd w:id="16"/>
    <w:bookmarkStart w:name="z34" w:id="17"/>
    <w:p>
      <w:pPr>
        <w:spacing w:after="0"/>
        <w:ind w:left="0"/>
        <w:jc w:val="both"/>
      </w:pPr>
      <w:r>
        <w:rPr>
          <w:rFonts w:ascii="Times New Roman"/>
          <w:b w:val="false"/>
          <w:i w:val="false"/>
          <w:color w:val="000000"/>
          <w:sz w:val="28"/>
        </w:rPr>
        <w:t>
      "494-7)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әзірлеу және бекіту;".</w:t>
      </w:r>
    </w:p>
    <w:bookmarkEnd w:id="17"/>
    <w:bookmarkStart w:name="z35" w:id="18"/>
    <w:p>
      <w:pPr>
        <w:spacing w:after="0"/>
        <w:ind w:left="0"/>
        <w:jc w:val="both"/>
      </w:pPr>
      <w:r>
        <w:rPr>
          <w:rFonts w:ascii="Times New Roman"/>
          <w:b w:val="false"/>
          <w:i w:val="false"/>
          <w:color w:val="000000"/>
          <w:sz w:val="28"/>
        </w:rPr>
        <w:t xml:space="preserve">
      2. Осы қаулы ресми жариялануға тиіс және 2026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оныншы және он бірінші абзацтарын қоспағанда, 2025 жылғы 15 қыркүйектен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