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7d9d6" w14:textId="397d9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қаржының орнықтылығын қамтамасыз ету және Қазақстан Республикасының макроэкономикалық саясатының теңгерімділігін арттыру жөніндегі 2025 – 2027 жылдарға арналған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2025 жылғы 18 қыркүйектегі № 765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қаржының орнықтылығын қамтамасыз ету және Қазақстан Республикасының макроэкономикалық саясатының теңгерімділігін арттыру жөніндегі 2025 – 2027 жылдарға арналған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 </w:t>
      </w:r>
    </w:p>
    <w:bookmarkEnd w:id="1"/>
    <w:bookmarkStart w:name="z3" w:id="2"/>
    <w:p>
      <w:pPr>
        <w:spacing w:after="0"/>
        <w:ind w:left="0"/>
        <w:jc w:val="both"/>
      </w:pPr>
      <w:r>
        <w:rPr>
          <w:rFonts w:ascii="Times New Roman"/>
          <w:b w:val="false"/>
          <w:i w:val="false"/>
          <w:color w:val="000000"/>
          <w:sz w:val="28"/>
        </w:rPr>
        <w:t>
      2. Орталық мемлекеттік органдар, Қазақстан Республикасының Президентіне тікелей бағынатын және есеп беретін мемлекеттік органдар (келісу бойынша), өзге де ұйымдар (келісу бойынша):</w:t>
      </w:r>
    </w:p>
    <w:bookmarkEnd w:id="2"/>
    <w:bookmarkStart w:name="z4" w:id="3"/>
    <w:p>
      <w:pPr>
        <w:spacing w:after="0"/>
        <w:ind w:left="0"/>
        <w:jc w:val="both"/>
      </w:pPr>
      <w:r>
        <w:rPr>
          <w:rFonts w:ascii="Times New Roman"/>
          <w:b w:val="false"/>
          <w:i w:val="false"/>
          <w:color w:val="000000"/>
          <w:sz w:val="28"/>
        </w:rPr>
        <w:t>
      1) Жоспарда көзделген іс-шаралардың уақтылы іске асырылуын қамтамасыз етсін;</w:t>
      </w:r>
    </w:p>
    <w:bookmarkEnd w:id="3"/>
    <w:bookmarkStart w:name="z5" w:id="4"/>
    <w:p>
      <w:pPr>
        <w:spacing w:after="0"/>
        <w:ind w:left="0"/>
        <w:jc w:val="both"/>
      </w:pPr>
      <w:r>
        <w:rPr>
          <w:rFonts w:ascii="Times New Roman"/>
          <w:b w:val="false"/>
          <w:i w:val="false"/>
          <w:color w:val="000000"/>
          <w:sz w:val="28"/>
        </w:rPr>
        <w:t>
      2) тоқсан сайын, есепті тоқсаннан кейінгі айдың 5-і күніне дейін Қазақстан Республикасының Ұлттық экономика министрлігіне Жоспардың орындалу барысы туралы ақпарат беріп тұрсын.</w:t>
      </w:r>
    </w:p>
    <w:bookmarkEnd w:id="4"/>
    <w:bookmarkStart w:name="z6" w:id="5"/>
    <w:p>
      <w:pPr>
        <w:spacing w:after="0"/>
        <w:ind w:left="0"/>
        <w:jc w:val="both"/>
      </w:pPr>
      <w:r>
        <w:rPr>
          <w:rFonts w:ascii="Times New Roman"/>
          <w:b w:val="false"/>
          <w:i w:val="false"/>
          <w:color w:val="000000"/>
          <w:sz w:val="28"/>
        </w:rPr>
        <w:t>
      3. Қазақстан Республикасының Ұлттық экономика министрлігі жартыжылдықтың қорытындысы бойынша, 15 шілдеден және 15 қаңтардан кешіктірмей Қазақстан Республикасы Үкіметінің Аппаратына Жоспардың орындалу барысы туралы жиынтық ақпарат беріп тұрсын.</w:t>
      </w:r>
    </w:p>
    <w:bookmarkEnd w:id="5"/>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экономика министрлігіне жүктелсін.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18 қыркүйектегі</w:t>
            </w:r>
            <w:r>
              <w:br/>
            </w:r>
            <w:r>
              <w:rPr>
                <w:rFonts w:ascii="Times New Roman"/>
                <w:b w:val="false"/>
                <w:i w:val="false"/>
                <w:color w:val="000000"/>
                <w:sz w:val="20"/>
              </w:rPr>
              <w:t>№ 765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Мемлекеттік қаржының орнықтылығын қамтамасыз ету және Қазақстан Республикасының макроэкономикалық саясатының теңгерімділігін арттыру жөніндегі 2025 – 2027 жылдарға арналған іс-шаралар жоспары</w:t>
      </w:r>
    </w:p>
    <w:bookmarkEnd w:id="8"/>
    <w:p>
      <w:pPr>
        <w:spacing w:after="0"/>
        <w:ind w:left="0"/>
        <w:jc w:val="both"/>
      </w:pPr>
      <w:r>
        <w:rPr>
          <w:rFonts w:ascii="Times New Roman"/>
          <w:b w:val="false"/>
          <w:i w:val="false"/>
          <w:color w:val="ff0000"/>
          <w:sz w:val="28"/>
        </w:rPr>
        <w:t xml:space="preserve">
      Ескерту. Жоспарға өзгеріс енгізілді - ҚР Үкіметінің 03.04.2026 </w:t>
      </w:r>
      <w:r>
        <w:rPr>
          <w:rFonts w:ascii="Times New Roman"/>
          <w:b w:val="false"/>
          <w:i w:val="false"/>
          <w:color w:val="ff0000"/>
          <w:sz w:val="28"/>
        </w:rPr>
        <w:t>№ 216</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Іс-шараның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нысаны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w:t>
            </w:r>
          </w:p>
          <w:p>
            <w:pPr>
              <w:spacing w:after="20"/>
              <w:ind w:left="20"/>
              <w:jc w:val="both"/>
            </w:pPr>
          </w:p>
          <w:p>
            <w:pPr>
              <w:spacing w:after="20"/>
              <w:ind w:left="20"/>
              <w:jc w:val="both"/>
            </w:pPr>
            <w:r>
              <w:rPr>
                <w:rFonts w:ascii="Times New Roman"/>
                <w:b/>
                <w:i w:val="false"/>
                <w:color w:val="000000"/>
                <w:sz w:val="20"/>
              </w:rPr>
              <w:t>
орындаушылар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мемлекеттік қаржы орнықтылығының мынадай нысаналы көрсеткіштеріне қол жеткізуді қамтамасыз етсін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негізгі көрсеткіші (ковенанты) ретінде мұнайға қатысты емес тапшылықтың рөлін бекіте отырып, республикалық бюджеттің мұнайға қатысты емес тапшылығы деңгейін 2025 жылы ЖІӨ-ге қатысты 7,3 %-ға, 2026 жылы ЖІӨ-ге қатысты 4,9 %-ға, 2027 жылы ЖІӨ-ге қатысты 3,7 %-ға, 2028 жылы ЖІӨ-ге қатысты 2,7 %-ға дейін төмендету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2025 – 2027 жылдардағы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тапшылығының деңгейін 2025 жылы ЖІӨ-ге қатысты 2,7 %-ға, 2026 жылы ЖІӨ-ге қатысты 2,5 %-ға, 2027 жылы ЖІӨ-ге қатысты 1,7 %-ға, 2028 жылы ЖІӨ-ге қатысты 0,9 %-ға дейін төмендету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2025 – 2027 жылдардағы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борыштың көлемін 2025 жылы ЖІӨ-ге қатысты 25,1 %-дан, 2026 жылы ЖІӨ-ге қатысты 25,3 %-дан, 2027 жылы ЖІӨ-ге қатысты 25,5 %-дан, 2028 жылы ЖІӨ-ге қатысты 25,0 %-дан аспайтын мөлшерде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2025 – 2027 жылдардағы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борыштың көлемін 2025 жылы ЖІӨ-ге қатысты 21,8 %-дан, 2026 жылы ЖІӨ-ге қатысты 21,4 %-дан, 2027 жылы ЖІӨ-ге қатысты 20,8 %-дан, 2028 жылы ЖІӨ-ге қатысты 19,6 %-дан  аспайтын деңгейде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2025 – 2027 жылдардағы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кірістерін (трансферттерді есепке алмағанда) 2025 жылы ЖІӨ-ге қатысты 10,4 %-ға, 2026 жылы ЖІӨ-ге қатысты 10,5 %-ға, 2027 жылы ЖІӨ-ге қатысты  10,3 %-ға, 2028 жылы ЖІӨ-ге қатысты 10,1 %-ға дейін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2025 – 2027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сектордың сыртқы міндеттемелерінің лимитін (сыртқы мемлекеттік борыштың, квазимемлекеттік сектор субъектілерінің сыртқы борышының және кепілдік берілген сыртқы борыштың сомасы) Қазақтан Республикасы Ұлттық қорының 0,85 таза валюталық активтерінен көп болмайтын деңгейде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2025 – 2027</w:t>
            </w:r>
          </w:p>
          <w:p>
            <w:pPr>
              <w:spacing w:after="20"/>
              <w:ind w:left="20"/>
              <w:jc w:val="both"/>
            </w:pPr>
            <w:r>
              <w:rPr>
                <w:rFonts w:ascii="Times New Roman"/>
                <w:b w:val="false"/>
                <w:i w:val="false"/>
                <w:color w:val="000000"/>
                <w:sz w:val="20"/>
              </w:rPr>
              <w:t>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мемлекеттік қаржының теңгерімділігін арттыру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қағидалар мен нысаналы бағдарларды мүлтіксіз сақтау жолымен контрциклдік салық-бюджет саясатының жүргізілуін қамтамасыз етсін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бекіту мен нақтылауды қоса алғанда, бюджетті жоспарлау кезеңдерінде бюджеттік қағидалардың екі құрамдасын да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2025 – 2027</w:t>
            </w:r>
          </w:p>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алып қоюдың барлық нысанының толыққанды қамтылуын қамтамасыз ету жолымен бюджеттік</w:t>
            </w:r>
          </w:p>
          <w:p>
            <w:pPr>
              <w:spacing w:after="20"/>
              <w:ind w:left="20"/>
              <w:jc w:val="both"/>
            </w:pPr>
            <w:r>
              <w:rPr>
                <w:rFonts w:ascii="Times New Roman"/>
                <w:b w:val="false"/>
                <w:i w:val="false"/>
                <w:color w:val="000000"/>
                <w:sz w:val="20"/>
              </w:rPr>
              <w:t>
қағидалар мен нысаналы бағдарлардың периметрін кеңейтсін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трансферттердің көлемін бетпе-бет өткізілетін отырыстарда Ұлттық қорды басқару жөніндегі кеңестің шешімі бойынша ғана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 2025 – 2027</w:t>
            </w:r>
          </w:p>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Қазақтан Республикасы Ұлттық қорының қаражаты есебінен квазимемлекеттік сектор компанияларының акцияларын сатып алуға тыйым салуды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ҰБ (келісу бойынша),</w:t>
            </w:r>
          </w:p>
          <w:p>
            <w:pPr>
              <w:spacing w:after="20"/>
              <w:ind w:left="20"/>
              <w:jc w:val="both"/>
            </w:pPr>
            <w:r>
              <w:rPr>
                <w:rFonts w:ascii="Times New Roman"/>
                <w:b w:val="false"/>
                <w:i w:val="false"/>
                <w:color w:val="000000"/>
                <w:sz w:val="20"/>
              </w:rPr>
              <w:t>
"Бәйтерек" ҰБХ" АҚ (келісу бойынша),</w:t>
            </w:r>
          </w:p>
          <w:p>
            <w:pPr>
              <w:spacing w:after="20"/>
              <w:ind w:left="20"/>
              <w:jc w:val="both"/>
            </w:pPr>
            <w:r>
              <w:rPr>
                <w:rFonts w:ascii="Times New Roman"/>
                <w:b w:val="false"/>
                <w:i w:val="false"/>
                <w:color w:val="000000"/>
                <w:sz w:val="20"/>
              </w:rPr>
              <w:t>
"Самұрық-Қазына" АҚ (келісу бойынша)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аудиторлық палатамен және Ұлттық Банкпен бірлесіп Үкіметтің бюджеттік қағидаларды сақтау бойынша есептілігін күшейту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 жөніндегі кеңестің отырыстарында бюджеттік тәуекелдер туралы талдамалық есеп шеңберінде бюджеттік тәуекелдердің болжамды кезеңге арналған әлеуметтік-экономикалық даму параметрлеріне әсерін бағалау нәтижелерін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2025 – 2027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СЖРА (келісу бойынша), Қаржымині, ҰБ</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аудиторлық палатаның неғұрлым басым бағыттарға қайта бағдарлау және (немесе) Қазақстан Республикасының Ұлттық қорына қайтарылуын қамтамасыз ету мақсатында Ұлттық қор құрылған кезден бастап одан экономиканы қолдауға жеңілдікті шарттармен бөлінген қаражатқа, бюджеттен тыс құйылған қаражатқа мемлекеттік аудит жүргізуі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ЖАП-тың аудит бойынша ақпараты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мемлекеттік аудиттің қорытындысы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жобасына қорытындыны қалыптастыру шеңберінде әлеуметтік-экономикалық даму болжамын оларда белгіленген параметрлердің шынайылығы және бюджеттік тәуекелдерді есепке алудың толықтығы тұрғысынан сыртқы тәуелсіз бағалауды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 2025 – 2027</w:t>
            </w:r>
          </w:p>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(келісу бойынша), ЖАП (келісу бойынша), ҰЭМ, Қаржымині, Қаржымині, ҰБ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қаржының біртұтастығы қағидатын қатаң сақтау үшін мемлекет активтері мен міндеттемелерінің есепке алынуын қамтамасыз етсін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қорлар нысанында құрылған квазимемлекеттік сектор субъектілерінің жаңаларын құруға тыйым салуды енгізе отырып, олардың дербес ұйымдар ретінде жұмыс істеуінің орындылығы тұрғысынан ревизия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2025 – 2027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ҰБ (келісу бойынша), ЖАП (келісу бойынша), "Самұрық-Қазына" АҚ (келісу бойынша)</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ынталандырулардың мақсаттары мен әлеуметтік- экономикалық әсеріне сүйене отырып, қолданылу мерзімі бойынша уақытша шектеулер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2025 – 2027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жеңілдіктерді беру мен есепке алуды қатаң регламенттеу арқылы тиімсіз салықтық жеңілдіктерді, преференцияларды алып тастау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2025 – 2027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экономика деңгейін төмендету бойынша пәрменді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ҚМА (келісу бойынша), ҰЭМ, ҰБ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Парафискалдық төлемдерге ревизия және парафискалдық төлемдерді алып қоятын ұйымдарды тарату немесе бюджетке беру жөнінде шешімдер қабылдау үшін олардың қызметінің тиімділігіне талдау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жылдан бастап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жеңілдіктер, салықтан босатулар және өзге де преференциялар, салықтық жеңілдіктерді алушылар мен олардың бенефициарлары, қолданылу мерзімдері, есептік сомалары, сондай-ақ жаңа салықтық жеңілдіктер шығындарының  болжамды сомалары және күтілетін әлеуметтік-экономикалық әсер туралы жария дерекқор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жылдан бастап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параметрлерін талдау және жоспарлау, сондай-ақ макроэкономикалық болжау процесін жақсартсын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секторлары және мемлекеттік сектор бойынша бөле отырып, экономиканың институционалдық бірліктерінің нақты сыныптамасын қамтамасыз ету, сондай- ақ анық статистиканы арттыру үшін институционалдық бірліктердің сыныптамасын үйлестіру бойынша жұмысты аяқтау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2027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СЖРА (келісу бойынша), ҰБ</w:t>
            </w:r>
          </w:p>
          <w:p>
            <w:pPr>
              <w:spacing w:after="20"/>
              <w:ind w:left="20"/>
              <w:jc w:val="both"/>
            </w:pPr>
            <w:r>
              <w:rPr>
                <w:rFonts w:ascii="Times New Roman"/>
                <w:b w:val="false"/>
                <w:i w:val="false"/>
                <w:color w:val="000000"/>
                <w:sz w:val="20"/>
              </w:rPr>
              <w:t>
(келісу бойынша)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борышты тиімді басқару үшін кейіннен орта мерзімді іс-қимыл жоспарын Ұлттық Банкпен бірлесіп әзірлей отырып, мемлекеттік борышты басқару мәселелері жөніндегі мамандандырылған жұмыс органын (Debt Management Office)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ҰБ (келісу бойынша), СЖРА (келісу бойынша),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шараларын ұсынудың сапасы мен тиімділігін арттырсын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қолдаудың қолданыстағы шараларының тиімділігіне бағалау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ӨҚМ, Еңбекмині, Қаржымині, ҒЖБМ, ОМ, ДСМ, ЦДИАӨМ, ТСМ, МАМ, АШМ, ҰБ (келісу бойынша),</w:t>
            </w:r>
          </w:p>
          <w:p>
            <w:pPr>
              <w:spacing w:after="20"/>
              <w:ind w:left="20"/>
              <w:jc w:val="both"/>
            </w:pPr>
            <w:r>
              <w:rPr>
                <w:rFonts w:ascii="Times New Roman"/>
                <w:b w:val="false"/>
                <w:i w:val="false"/>
                <w:color w:val="000000"/>
                <w:sz w:val="20"/>
              </w:rPr>
              <w:t>
"Бәйтерек" ҰБХ" АҚ (келісу бойынша), "Самұрық-Қазына"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мемлекеттік қолдау шараларын алушыларды қоса алғанда, олардың ұсынылуы мен пайдаланылуын екі деңгейлі жүйе негізінде мониторингтеу үшін "Baqylauda" АЖ-ны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2025 – 2027</w:t>
            </w:r>
          </w:p>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ҰБ (келісу бойынша), "Бәйтерек" ҰБХ" АҚ (келісу бойынша), "Самұрық-Қазына"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кәсіпкерлікті мемлекеттік қолдаудың барлық қолданыстағы шаралары үшін стандартталған паспорттарды әзірлеу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ӨҚМ, Еңбекмині, КМ, СИМ, СІМ, СРИМ, ТСМ, ЭТРМ, АШМ, "Бәйтерек" ҰБХ" АҚ (келісу бойынша),</w:t>
            </w:r>
          </w:p>
          <w:p>
            <w:pPr>
              <w:spacing w:after="20"/>
              <w:ind w:left="20"/>
              <w:jc w:val="both"/>
            </w:pPr>
            <w:r>
              <w:rPr>
                <w:rFonts w:ascii="Times New Roman"/>
                <w:b w:val="false"/>
                <w:i w:val="false"/>
                <w:color w:val="000000"/>
                <w:sz w:val="20"/>
              </w:rPr>
              <w:t>
"Самұрық-Қазына" АҚ (келісу бойынша)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және жанама ынталандыру шараларын алған кәсіпорындар мысалында мемлекеттік қолдаудың тиімділігіне микроэкономикалық зерттеу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Еңбекмині, КМ, ӨҚМ, СИМ, СІМ, СРИМ, ТСМ, ЭТРМ, АШМ, ҰБ (келісу бойынша), "Бәйтерек" ҰБХ" АҚ (келісу бойынша), "Самұрық-Қазына"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 дамытудың басым бағыттарын қаржыландыру мақсатында мемлекеттік шығыстарды босату үшін оларды оңтайландыру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лауазымды адам – бастамашы мемлекеттік органның бірінші басшысының іске асыруға жеке-дара жауапкершілігін енгізе отырып, оған мемлекеттік инвестициялар портфеліне енгізілген жобалар пулын, қаражатқа дербес билік ету құқығын (өнім берушіні таңдау, іске асыру мерзімі және т. б.) бекітіп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жылдан бастап құрылған әкімшілік-аумақтық бірліктердің объектілерін және басталып қойған құрылыс жұмыстарын  аяқтауды, сондай-ақ Қазақстан Республикасының Премьер-Министрімен алдын ала келісу кезінде Қазақстан Республикасы Президентінің тікелей тапсырмасы бойынша іске асырылып жатқан объектілерді қоспағанда, 2025 – 2027 жылдар (қоса алғанда) кезеңінде мемлекеттік бюджет қаражаты есебінен қаржыландырылатын мемлекеттік органдардың және ұйымдардың жаңа әкімшілік ғимараттарын салуға мораторий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Құрылыс кодексі шеңберінде бюджет есебінен қаржыландырылатын ағымдағы және күрделі шығындарды кемінде 15 %-ға қысқарту мақсатында олардың асып кетуіне қарсы, оның ішінде цифрлық құралдарды енгізу және құрылыс саласындағы экономикалық субъектілер арасындағы есептеулерде цифрлық теңгені "таңбалау" тетігін пайдалану арқылы жүйелі шешімдер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ҰЭМ, ҰБ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Цифрландыруды енгізу және халықтың әлеуметтік қолдауды алу өлшемшарттарын, рәсімдерін жетілдіру арқылы мемлекеттің әлеуметтік міндеттемелерін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2025 – 2027</w:t>
            </w:r>
          </w:p>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ЦДИАӨМ, Қаржымині, ҰБ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Ұлттық қор активтерінің және Бірыңғай жинақтаушы зейнетақы қорының (бұдан әрі – БЖЗҚ) зейнетақы активтерінің басқарылу тиімділігін арттыру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жинақ портфелінің құрылымын теңгерімделген стратегиялық аллокацияны және жергілікті экономиканы дамытуға бағытталған бастамалардың іске асырылуын ескере отырып, активтердің табыстылығы жоғары сыныптарына инвестицияларды ұлғайту жағына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ҰЭМ,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 активтерінің жалпы ұзақ мерзімді кірістілігін активтерді консервативті бөлуге қатысты жылдық мәнде кемінде 1 %-ға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ның Ұлттық қорын сенімгерлік басқару нәтижелері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2025 – 2027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Қаржымині,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кезеңде БЖЗҚ зейнетақы активтері бойынша жыл сайынғы кірістілікті инфляциядан 150-200 базистік тармаққа жоғары қамтамасыз етуге бағытталған шараларды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2025 – 2027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Еңбекмині, Қаржымині,</w:t>
            </w:r>
          </w:p>
          <w:p>
            <w:pPr>
              <w:spacing w:after="20"/>
              <w:ind w:left="20"/>
              <w:jc w:val="both"/>
            </w:pPr>
            <w:r>
              <w:rPr>
                <w:rFonts w:ascii="Times New Roman"/>
                <w:b w:val="false"/>
                <w:i w:val="false"/>
                <w:color w:val="000000"/>
                <w:sz w:val="20"/>
              </w:rPr>
              <w:t>
ҰЭМ</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 орнықты төмендету, экономиканы қаржыландырудағы жеке сектордың рөлін арттыру, экономиканы ырықтандыруға және нарықтық тетіктерді дамытуға жәрдемдесу, қаржы секторындағы жүйелік тәуекелдерді төмендету және екінші деңгейдегі банктерді бизнесті кредиттеуге ынталандыру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кредит беру сегментінде секторлық контрциклдік капитал буферін жандандыру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ҚНРДА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Инфляциялық қысымды төмендету, ақша-кредит саясаты операцияларын жүргізуге арналған шығыстарды төмендету үшін ең төмен резервтік талаптар тетігін белсенді пайдалану арқылы артық өтімділікті басқарудың тиімділігін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Басқармасының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3-тоқсан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алтынды сатып алуға басым құқықты іске асыру шеңберінде Ұлттық Банктің операцияларын қайталау бойынша операцияларды жүзеге асыру арқылы өтімділіктің құрылымдық профицитін қысқарту жөніндегі шараларды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2025 – 2027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экспортын ынталандыру, Қазақстан Республикасында өндірілген тазартылған алтын құймаларының әлемдік нарықта бәсекеге қабілеттілігін арттыру және инвестициялар тарту, оның ішінде отандық өндірушілерден тазартылған алтынды 100 пайыз сатып алу практикасынан кезең-кезеңімен бас тарту арқылы тарту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ҰЭМ, "Самұрық-Қазына" АҚ (келісу бойынша), ҰБ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 мен квазимемлекеттік сектор субъектілерінің Ұлттық Банкпен валюталық операцияларының үнемі үйлестірілуін нормативтік-құқықтық регламенттеуді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 2025 – 2027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Қаржымині, ҰЭМ, "Бәйтерек" ҰБХ" АҚ (келісу бойынша), "Самұрық-Қазына" АҚ (келісу бойынша)</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салықтық төрелікті жою, бизнесті кредиттеу және тәуекелсіз кірістерге салық төлеу үшін ынталандыру жасау мақсатында Ұлттық Банкпен және Қаржы нарығын реттеу және дамыту агенттігімен бірлесіп Салық кодексінің жобасы шеңберінде 2026 жылдан бастап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мен оның еншілес ұйымдарын қоспағанда, мемлекеттік бағалы қағаздардан түсетін кірістерге салық салу бойынша корпоративтік табыс салығын төлеуші резиденттердің жеңілдіктерін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ҰБ (келісу бойынша), ҚНРДА (келісу бойынша), "Бәйтерек" ҰБХ"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Қазақстан Республикасының Бәсекелестікті қорғау және дамыту, Қаржы нарығын реттеу және дамыту агенттіктерімен және Ұлттық Банкпен бірлесіп бизнесті қолдан бөлшектеу жағдайларын болғызбау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Инфляцияға ықпал етуді төмендету, сондай-ақ тұтынушылардың қорғалуын қамтамасыз ету мақсатында бөліп төлеу түрінде тұтынушыларды қысқа мерзімді қаржыландыруды реттеу жөніндегі шараларды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ҰЭМ, Қаржымині, СИМ, БҚДА (келісу бойынша), ҰБ (келісу бойынша), "Самұрық-Қазына"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Бизнеске мемлекеттік қолдау көрсетудің түйінді өлшемшарттары ретінде салықтық түсімдер мен еңбекақы төлеу қорын ұлғайтуды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 2025 – 2027</w:t>
            </w:r>
          </w:p>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ҰБ (келісу бойынша)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инвестициялық жобаларды қаржыландыру кезінде даму институттарының ішкі нормативтік құжаттарында жеке қаржы институттарының қаражатын тарту бойынша міндетті талапты орта мерзімді перспективада оның үлесін біртіндеп ұлғайта отырып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2025 – 2027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(келісу бойынша), "Самұрық-Қазына" АҚ (келісу бойынша), ҰЭМ, Қаржымині, ҚНРДА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несие корпорациясы" және "ҚазАгроҚаржы" акционерлік қоғамдарының агроөнеркәсіптік кешенде шикізат сатып алудан, ауыл шаруашылығы өнімдерін өндіруден, қайта өңдеуден, тасымалдаудан, сақтаудан бастап түпкілікті тұтынушыларға өткізуге дейінгі барлық кезеңді қамтитын орнықты жеткізу тізбектерін қалыптастыру үшін инфрақұрылым құру бойынша қызметін күшейте отырып, олардың АӨК субъектілерін қаржыландырудағы, сондай-ақ АӨК субъектілерін қаржыландыру кезінде кепілдік беру, сақтандыру құралдарын пайдалану жөніндегі өкілеттіктері мен функцияларын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ӨҚМ, "Бәйтерек" ҰБХ" АҚ</w:t>
            </w:r>
          </w:p>
          <w:p>
            <w:pPr>
              <w:spacing w:after="20"/>
              <w:ind w:left="20"/>
              <w:jc w:val="both"/>
            </w:pPr>
            <w:r>
              <w:rPr>
                <w:rFonts w:ascii="Times New Roman"/>
                <w:b w:val="false"/>
                <w:i w:val="false"/>
                <w:color w:val="000000"/>
                <w:sz w:val="20"/>
              </w:rPr>
              <w:t>
(келісу бойынша), ҰЭМ, АНК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қатысуымен "Даму" кәсіпкерлікті дамыту қоры" акционерлік қоғамының базасында  шағын  және орта бизнес субъектілерінің кредиттері бойынша кепілдік беру қорының құрылуын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ҚНРДА (келісу бойынша), "Бәйтерек" ҰБХ"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жеңілдікті лизингтік қаржыландыруды көздейтін және "Бәйтерек" АҚ еншілес ұйымдары арқылы  іске асырылатын бағдарламалық құжаттардың шарттарына оларды іске асыруда лизингті қаржылық қолдау шараларының  жиынтық көлемінде кемінде 10 % деңгейінде үлесі бар жеке лизингтік компаниялардың қатысуын қамтамасыз ету бойынша мақсаттарды белгілей отырып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АШМ, ҰЭМ, Қаржымині, "Бәйтерек" ҰБХ" АҚ</w:t>
            </w:r>
          </w:p>
          <w:p>
            <w:pPr>
              <w:spacing w:after="20"/>
              <w:ind w:left="20"/>
              <w:jc w:val="both"/>
            </w:pPr>
            <w:r>
              <w:rPr>
                <w:rFonts w:ascii="Times New Roman"/>
                <w:b w:val="false"/>
                <w:i w:val="false"/>
                <w:color w:val="000000"/>
                <w:sz w:val="20"/>
              </w:rPr>
              <w:t>
(келісу бойынша), ҰЭМ</w:t>
            </w:r>
          </w:p>
        </w:tc>
      </w:tr>
    </w:tbl>
    <w:p>
      <w:pPr>
        <w:spacing w:after="0"/>
        <w:ind w:left="0"/>
        <w:jc w:val="both"/>
      </w:pPr>
      <w:r>
        <w:rPr>
          <w:rFonts w:ascii="Times New Roman"/>
          <w:b w:val="false"/>
          <w:i w:val="false"/>
          <w:color w:val="000000"/>
          <w:sz w:val="28"/>
        </w:rPr>
        <w:t>
      Ескертпе: аббревиатуралардың толық жазылуы АЖ – ақпараттық жүйе</w:t>
      </w:r>
    </w:p>
    <w:p>
      <w:pPr>
        <w:spacing w:after="0"/>
        <w:ind w:left="0"/>
        <w:jc w:val="both"/>
      </w:pPr>
      <w:r>
        <w:rPr>
          <w:rFonts w:ascii="Times New Roman"/>
          <w:b w:val="false"/>
          <w:i w:val="false"/>
          <w:color w:val="000000"/>
          <w:sz w:val="28"/>
        </w:rPr>
        <w:t>
      АНК – "Аграрлық несие корпорациясы" акционерлік қоғамы АӨК – агроөнеркәсіптік кешен</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"Бәйтерек" ҰБХ" АҚ – "Бәйтерек" ұлттық басқарушы холдингі" акционерлік қоғамы БЖЗҚ – "Бірыңғай жинақтаушы зейнетақы қоры" акционерлік қоғамы</w:t>
      </w:r>
    </w:p>
    <w:p>
      <w:pPr>
        <w:spacing w:after="0"/>
        <w:ind w:left="0"/>
        <w:jc w:val="both"/>
      </w:pPr>
      <w:r>
        <w:rPr>
          <w:rFonts w:ascii="Times New Roman"/>
          <w:b w:val="false"/>
          <w:i w:val="false"/>
          <w:color w:val="000000"/>
          <w:sz w:val="28"/>
        </w:rPr>
        <w:t>
      БҚДА – Қазақстан Республикасының Бәсекелестікті қорғау және дамыту агенттігі ҒЖБМ – Қазақстан Республикасының Ғылым және жоғары білім министрлігі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 ЖАП – Қазақстан Республикасының Жоғары аудиторлық палатасы</w:t>
      </w:r>
    </w:p>
    <w:p>
      <w:pPr>
        <w:spacing w:after="0"/>
        <w:ind w:left="0"/>
        <w:jc w:val="both"/>
      </w:pPr>
      <w:r>
        <w:rPr>
          <w:rFonts w:ascii="Times New Roman"/>
          <w:b w:val="false"/>
          <w:i w:val="false"/>
          <w:color w:val="000000"/>
          <w:sz w:val="28"/>
        </w:rPr>
        <w:t>
      ЖІӨ – жалпы ішкі өнім</w:t>
      </w:r>
    </w:p>
    <w:p>
      <w:pPr>
        <w:spacing w:after="0"/>
        <w:ind w:left="0"/>
        <w:jc w:val="both"/>
      </w:pPr>
      <w:r>
        <w:rPr>
          <w:rFonts w:ascii="Times New Roman"/>
          <w:b w:val="false"/>
          <w:i w:val="false"/>
          <w:color w:val="000000"/>
          <w:sz w:val="28"/>
        </w:rPr>
        <w:t>
      КМ – Қазақстан Республикасының Көлік министрлігі Қаржымині – Қазақстан Республикасының Қаржы министрлігі</w:t>
      </w:r>
    </w:p>
    <w:p>
      <w:pPr>
        <w:spacing w:after="0"/>
        <w:ind w:left="0"/>
        <w:jc w:val="both"/>
      </w:pPr>
      <w:r>
        <w:rPr>
          <w:rFonts w:ascii="Times New Roman"/>
          <w:b w:val="false"/>
          <w:i w:val="false"/>
          <w:color w:val="000000"/>
          <w:sz w:val="28"/>
        </w:rPr>
        <w:t>
      ҚМА – Қазақстан Республикасының Қаржылық мониторинг агенттігі</w:t>
      </w:r>
    </w:p>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 ҚТҚ – Қаржылық тұрақтылық жөніндегі кеңес</w:t>
      </w:r>
    </w:p>
    <w:p>
      <w:pPr>
        <w:spacing w:after="0"/>
        <w:ind w:left="0"/>
        <w:jc w:val="both"/>
      </w:pPr>
      <w:r>
        <w:rPr>
          <w:rFonts w:ascii="Times New Roman"/>
          <w:b w:val="false"/>
          <w:i w:val="false"/>
          <w:color w:val="000000"/>
          <w:sz w:val="28"/>
        </w:rPr>
        <w:t>
      МАМ – Қазақстан Республикасының Мәдениет және ақпарат министрлігі ОМ – Қазақстан Республикасының Оқу-ағарту министрлігі</w:t>
      </w:r>
    </w:p>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p>
      <w:pPr>
        <w:spacing w:after="0"/>
        <w:ind w:left="0"/>
        <w:jc w:val="both"/>
      </w:pPr>
      <w:r>
        <w:rPr>
          <w:rFonts w:ascii="Times New Roman"/>
          <w:b w:val="false"/>
          <w:i w:val="false"/>
          <w:color w:val="000000"/>
          <w:sz w:val="28"/>
        </w:rPr>
        <w:t>
      "Самұрық-Қазына" АҚ – "Самұрық-Қазына" ұлттық әл-ауқат қоры" акционерлік қоғамы</w:t>
      </w:r>
    </w:p>
    <w:p>
      <w:pPr>
        <w:spacing w:after="0"/>
        <w:ind w:left="0"/>
        <w:jc w:val="both"/>
      </w:pPr>
      <w:r>
        <w:rPr>
          <w:rFonts w:ascii="Times New Roman"/>
          <w:b w:val="false"/>
          <w:i w:val="false"/>
          <w:color w:val="000000"/>
          <w:sz w:val="28"/>
        </w:rPr>
        <w:t>
      СИМ – Қазақстан Республикаcының Сауда және интеграция министрлігі</w:t>
      </w:r>
    </w:p>
    <w:p>
      <w:pPr>
        <w:spacing w:after="0"/>
        <w:ind w:left="0"/>
        <w:jc w:val="both"/>
      </w:pPr>
      <w:r>
        <w:rPr>
          <w:rFonts w:ascii="Times New Roman"/>
          <w:b w:val="false"/>
          <w:i w:val="false"/>
          <w:color w:val="000000"/>
          <w:sz w:val="28"/>
        </w:rPr>
        <w:t>
      СЖРА – Қазақстан Республикасының Стратегиялық жоспарлау және реформалар агенттігі СРИМ – Қазақстан Республикасының Су ресурстары және ирригация министрлігі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ТСМ – Қазақстан Республикасының Туризм және спорт министрлігі ҰБ – Қазақстан Республикасының Ұлттық Банкі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 ЭТРМ – Қазақстан Республикасының Экология және табиғи 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