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750cd" w14:textId="e975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кейбір мәселелері туралы" Қазақстан Республикасы Үкіметінің 2023 жылғы 4 қазандағы № 865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2024 жылғы 27 қыркүйектегі № 796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Туризм және спорт министрлігінің кейбір мәселелері туралы" Қазақстан Республикасы Үкіметінің 2023 жылғы 4 қазандағы № 865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Туризм және спорт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"25)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мемлекеттік органмен келісу бойынша бекітеді;";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"98) "Үздік спорт журналисі" атағын беру қағидаларын масс-медиа саласындағы уәкілетті органмен келісу бойынша әзірлейді;";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 тармақша</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"156) ақпаратты жүйелі түрде жинауды және интернет-ресурстардың мазмұнын интернет-казино, Қазақстан Республикасында ойын бизнесі саласындағы қызметпен айналысу құқығына лицензиялары жоқ шетелдік букмекерлік кеңселер және (немесе) тотализаторлар белгілерінің болуы-болмауы тұрғысынан талдауды жүзеге асыру қағидаларын бекітеді;";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 тармақша</w:t>
      </w:r>
      <w:r>
        <w:rPr>
          <w:rFonts w:ascii="Times New Roman"/>
          <w:b w:val="false"/>
          <w:i w:val="false"/>
          <w:color w:val="000000"/>
          <w:sz w:val="28"/>
        </w:rPr>
        <w:t xml:space="preserve"> алып тасталсын;</w:t>
      </w:r>
    </w:p>
    <w:bookmarkStart w:name="z16" w:id="6"/>
    <w:p>
      <w:pPr>
        <w:spacing w:after="0"/>
        <w:ind w:left="0"/>
        <w:jc w:val="both"/>
      </w:pPr>
      <w:r>
        <w:rPr>
          <w:rFonts w:ascii="Times New Roman"/>
          <w:b w:val="false"/>
          <w:i w:val="false"/>
          <w:color w:val="000000"/>
          <w:sz w:val="28"/>
        </w:rPr>
        <w:t>
      мынадай мазмұндағы 162-1), 162-2), 162-3) 162-4), 162-5), 162-6), 162-7), 162-8) және 162-9) тармақшалармен толықтырылсын:</w:t>
      </w:r>
    </w:p>
    <w:bookmarkEnd w:id="6"/>
    <w:bookmarkStart w:name="z17" w:id="7"/>
    <w:p>
      <w:pPr>
        <w:spacing w:after="0"/>
        <w:ind w:left="0"/>
        <w:jc w:val="both"/>
      </w:pPr>
      <w:r>
        <w:rPr>
          <w:rFonts w:ascii="Times New Roman"/>
          <w:b w:val="false"/>
          <w:i w:val="false"/>
          <w:color w:val="000000"/>
          <w:sz w:val="28"/>
        </w:rPr>
        <w:t>
      "162-1) қызметі Қазақстан Республикасының аумағында заңсыз болып табылатын шетелдік ойын бизнесін ұйымдастырушылардың тізбесін жүргізеді және оны өзінің интернет-ресурсында орналастырады;</w:t>
      </w:r>
    </w:p>
    <w:bookmarkEnd w:id="7"/>
    <w:bookmarkStart w:name="z18" w:id="8"/>
    <w:p>
      <w:pPr>
        <w:spacing w:after="0"/>
        <w:ind w:left="0"/>
        <w:jc w:val="both"/>
      </w:pPr>
      <w:r>
        <w:rPr>
          <w:rFonts w:ascii="Times New Roman"/>
          <w:b w:val="false"/>
          <w:i w:val="false"/>
          <w:color w:val="000000"/>
          <w:sz w:val="28"/>
        </w:rPr>
        <w:t>
      162-2) бірыңғай есепке алу жүйесінің жұмыс істеуі және бірыңғай есепке алу жүйесінде қамтылған ақпаратты өзге тұлғаларға беру қағидаларын Қазақстан Республикасының заңнамасына сәйкес әзірлейді және бекітеді;</w:t>
      </w:r>
    </w:p>
    <w:bookmarkEnd w:id="8"/>
    <w:bookmarkStart w:name="z19" w:id="9"/>
    <w:p>
      <w:pPr>
        <w:spacing w:after="0"/>
        <w:ind w:left="0"/>
        <w:jc w:val="both"/>
      </w:pPr>
      <w:r>
        <w:rPr>
          <w:rFonts w:ascii="Times New Roman"/>
          <w:b w:val="false"/>
          <w:i w:val="false"/>
          <w:color w:val="000000"/>
          <w:sz w:val="28"/>
        </w:rPr>
        <w:t>
      162-3) бәсекелестікті қорғау және монополистік қызметті шектеу саласында басшылықты жүзеге асыратын уәкілетті органмен, ақпараттандыру саласындағы уәкілетті органмен және Қазақстан Республикасының Ұлттық Банкімен келісу бойынша бірыңғай есепке алу жүйесінің жұмыс істеуін қамтамасыз ететін заңды тұлғаны айқындау қағидаларын және оған қойылатын біліктілік талаптарын әзірлейді және бекітеді;</w:t>
      </w:r>
    </w:p>
    <w:bookmarkEnd w:id="9"/>
    <w:bookmarkStart w:name="z20" w:id="10"/>
    <w:p>
      <w:pPr>
        <w:spacing w:after="0"/>
        <w:ind w:left="0"/>
        <w:jc w:val="both"/>
      </w:pPr>
      <w:r>
        <w:rPr>
          <w:rFonts w:ascii="Times New Roman"/>
          <w:b w:val="false"/>
          <w:i w:val="false"/>
          <w:color w:val="000000"/>
          <w:sz w:val="28"/>
        </w:rPr>
        <w:t>
      162-4) бәс тігуге қатысушыларға ұтыстарды төлеу кезінде бірыңғай есепке алу жүйесінің жұмыс істеуін қамтамасыз ететін заңды тұлға алатын комиссияның мөлшерін бәсекелестікті қорғау және монополистік қызметті шектеу саласында басшылықты жүзеге асыратын уәкілетті органмен келісу бойынша белгілейді;</w:t>
      </w:r>
    </w:p>
    <w:bookmarkEnd w:id="10"/>
    <w:bookmarkStart w:name="z21" w:id="11"/>
    <w:p>
      <w:pPr>
        <w:spacing w:after="0"/>
        <w:ind w:left="0"/>
        <w:jc w:val="both"/>
      </w:pPr>
      <w:r>
        <w:rPr>
          <w:rFonts w:ascii="Times New Roman"/>
          <w:b w:val="false"/>
          <w:i w:val="false"/>
          <w:color w:val="000000"/>
          <w:sz w:val="28"/>
        </w:rPr>
        <w:t>
      162-5) бірыңғай есепке алу жүйесінің жұмыс істеуін қамтамасыз ететін заңды тұлғамен ынтымақтастық мерзімін, оны ұзарту немесе тоқтату шарттарын айқындайды;</w:t>
      </w:r>
    </w:p>
    <w:bookmarkEnd w:id="11"/>
    <w:bookmarkStart w:name="z22" w:id="12"/>
    <w:p>
      <w:pPr>
        <w:spacing w:after="0"/>
        <w:ind w:left="0"/>
        <w:jc w:val="both"/>
      </w:pPr>
      <w:r>
        <w:rPr>
          <w:rFonts w:ascii="Times New Roman"/>
          <w:b w:val="false"/>
          <w:i w:val="false"/>
          <w:color w:val="000000"/>
          <w:sz w:val="28"/>
        </w:rPr>
        <w:t>
      162-6) бекітілген қағидаларға және біліктілік талаптарына сәйкес бірыңғай есепке алу жүйесінің жұмыс істеуін қамтамасыз ететін заңды тұлғаны айқындайды;</w:t>
      </w:r>
    </w:p>
    <w:bookmarkEnd w:id="12"/>
    <w:bookmarkStart w:name="z23" w:id="13"/>
    <w:p>
      <w:pPr>
        <w:spacing w:after="0"/>
        <w:ind w:left="0"/>
        <w:jc w:val="both"/>
      </w:pPr>
      <w:r>
        <w:rPr>
          <w:rFonts w:ascii="Times New Roman"/>
          <w:b w:val="false"/>
          <w:i w:val="false"/>
          <w:color w:val="000000"/>
          <w:sz w:val="28"/>
        </w:rPr>
        <w:t>
      162-7) құмар ойындарға және (немесе) бәс тігуге қатысудың қауіп-қатерлері мен зияны туралы ескертудің мәтінін, эскиздерін бекітеді;</w:t>
      </w:r>
    </w:p>
    <w:bookmarkEnd w:id="13"/>
    <w:bookmarkStart w:name="z24" w:id="14"/>
    <w:p>
      <w:pPr>
        <w:spacing w:after="0"/>
        <w:ind w:left="0"/>
        <w:jc w:val="both"/>
      </w:pPr>
      <w:r>
        <w:rPr>
          <w:rFonts w:ascii="Times New Roman"/>
          <w:b w:val="false"/>
          <w:i w:val="false"/>
          <w:color w:val="000000"/>
          <w:sz w:val="28"/>
        </w:rPr>
        <w:t>
      162-8) ойын мекемесі, букмекерлік кеңсе немесе тотализатор жұмысының, мөлшерлемелер қабылдаудың және өткізілетін құмар ойындарының және (немесе) бәс тігудің үлгілік қағидаларын бекітеді;</w:t>
      </w:r>
    </w:p>
    <w:bookmarkEnd w:id="14"/>
    <w:bookmarkStart w:name="z25" w:id="15"/>
    <w:p>
      <w:pPr>
        <w:spacing w:after="0"/>
        <w:ind w:left="0"/>
        <w:jc w:val="both"/>
      </w:pPr>
      <w:r>
        <w:rPr>
          <w:rFonts w:ascii="Times New Roman"/>
          <w:b w:val="false"/>
          <w:i w:val="false"/>
          <w:color w:val="000000"/>
          <w:sz w:val="28"/>
        </w:rPr>
        <w:t>
      162-9) құмар ойындарға және (немесе) бәс тігуге қатысуы шектелген адамдардың тізіміне енгізу туралы өтініш беру, сондай-ақ құмар ойындарға және (немесе) бәс тігуге қатысуы шектелген адамдардың тізімін жүргізу тәртібін айқындайды;";</w:t>
      </w:r>
    </w:p>
    <w:bookmarkEnd w:id="15"/>
    <w:bookmarkStart w:name="z26" w:id="16"/>
    <w:p>
      <w:pPr>
        <w:spacing w:after="0"/>
        <w:ind w:left="0"/>
        <w:jc w:val="both"/>
      </w:pPr>
      <w:r>
        <w:rPr>
          <w:rFonts w:ascii="Times New Roman"/>
          <w:b w:val="false"/>
          <w:i w:val="false"/>
          <w:color w:val="000000"/>
          <w:sz w:val="28"/>
        </w:rPr>
        <w:t>
      мынадай мазмұндағы 163-1) және 163-2) тармақшалармен толықтырылсын:</w:t>
      </w:r>
    </w:p>
    <w:bookmarkEnd w:id="16"/>
    <w:bookmarkStart w:name="z27" w:id="17"/>
    <w:p>
      <w:pPr>
        <w:spacing w:after="0"/>
        <w:ind w:left="0"/>
        <w:jc w:val="both"/>
      </w:pPr>
      <w:r>
        <w:rPr>
          <w:rFonts w:ascii="Times New Roman"/>
          <w:b w:val="false"/>
          <w:i w:val="false"/>
          <w:color w:val="000000"/>
          <w:sz w:val="28"/>
        </w:rPr>
        <w:t>
      "163-1) лотерея операторын айқындау қағидаларын бекітеді;</w:t>
      </w:r>
    </w:p>
    <w:bookmarkEnd w:id="17"/>
    <w:bookmarkStart w:name="z28" w:id="18"/>
    <w:p>
      <w:pPr>
        <w:spacing w:after="0"/>
        <w:ind w:left="0"/>
        <w:jc w:val="both"/>
      </w:pPr>
      <w:r>
        <w:rPr>
          <w:rFonts w:ascii="Times New Roman"/>
          <w:b w:val="false"/>
          <w:i w:val="false"/>
          <w:color w:val="000000"/>
          <w:sz w:val="28"/>
        </w:rPr>
        <w:t>
      163-2) лотереяны өткізу, оларға өзгерістер мен толықтырулар енгізу шарттарын келіседі не оларды келісуден бас тартады;";</w:t>
      </w:r>
    </w:p>
    <w:bookmarkEnd w:id="18"/>
    <w:bookmarkStart w:name="z29" w:id="19"/>
    <w:p>
      <w:pPr>
        <w:spacing w:after="0"/>
        <w:ind w:left="0"/>
        <w:jc w:val="both"/>
      </w:pPr>
      <w:r>
        <w:rPr>
          <w:rFonts w:ascii="Times New Roman"/>
          <w:b w:val="false"/>
          <w:i w:val="false"/>
          <w:color w:val="000000"/>
          <w:sz w:val="28"/>
        </w:rPr>
        <w:t>
      мынадай мазмұндағы 185-1), 185-2), 185-3), 185-4), 185-5) және 185-6) тармақшалармен толықтырылсын:</w:t>
      </w:r>
    </w:p>
    <w:bookmarkEnd w:id="19"/>
    <w:bookmarkStart w:name="z30" w:id="20"/>
    <w:p>
      <w:pPr>
        <w:spacing w:after="0"/>
        <w:ind w:left="0"/>
        <w:jc w:val="both"/>
      </w:pPr>
      <w:r>
        <w:rPr>
          <w:rFonts w:ascii="Times New Roman"/>
          <w:b w:val="false"/>
          <w:i w:val="false"/>
          <w:color w:val="000000"/>
          <w:sz w:val="28"/>
        </w:rPr>
        <w:t>
      "185-1) адам саудасының алдын алу жөніндегі шараларды қабылдайды;</w:t>
      </w:r>
    </w:p>
    <w:bookmarkEnd w:id="20"/>
    <w:bookmarkStart w:name="z31" w:id="21"/>
    <w:p>
      <w:pPr>
        <w:spacing w:after="0"/>
        <w:ind w:left="0"/>
        <w:jc w:val="both"/>
      </w:pPr>
      <w:r>
        <w:rPr>
          <w:rFonts w:ascii="Times New Roman"/>
          <w:b w:val="false"/>
          <w:i w:val="false"/>
          <w:color w:val="000000"/>
          <w:sz w:val="28"/>
        </w:rPr>
        <w:t>
      185-2)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21"/>
    <w:bookmarkStart w:name="z32" w:id="22"/>
    <w:p>
      <w:pPr>
        <w:spacing w:after="0"/>
        <w:ind w:left="0"/>
        <w:jc w:val="both"/>
      </w:pPr>
      <w:r>
        <w:rPr>
          <w:rFonts w:ascii="Times New Roman"/>
          <w:b w:val="false"/>
          <w:i w:val="false"/>
          <w:color w:val="000000"/>
          <w:sz w:val="28"/>
        </w:rPr>
        <w:t>
      185-3)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22"/>
    <w:bookmarkStart w:name="z33" w:id="23"/>
    <w:p>
      <w:pPr>
        <w:spacing w:after="0"/>
        <w:ind w:left="0"/>
        <w:jc w:val="both"/>
      </w:pPr>
      <w:r>
        <w:rPr>
          <w:rFonts w:ascii="Times New Roman"/>
          <w:b w:val="false"/>
          <w:i w:val="false"/>
          <w:color w:val="000000"/>
          <w:sz w:val="28"/>
        </w:rPr>
        <w:t>
      185-4) ішкі істер органдарын өздеріне белгілі болған дайындалып жатқан не жасалған адам саудасына байланысты қылмыс фактілері туралы хабардар етеді;</w:t>
      </w:r>
    </w:p>
    <w:bookmarkEnd w:id="23"/>
    <w:bookmarkStart w:name="z34" w:id="24"/>
    <w:p>
      <w:pPr>
        <w:spacing w:after="0"/>
        <w:ind w:left="0"/>
        <w:jc w:val="both"/>
      </w:pPr>
      <w:r>
        <w:rPr>
          <w:rFonts w:ascii="Times New Roman"/>
          <w:b w:val="false"/>
          <w:i w:val="false"/>
          <w:color w:val="000000"/>
          <w:sz w:val="28"/>
        </w:rPr>
        <w:t>
      185-5) жұртшылықты адам саудасына қарсы іс-қимыл саласындағы қызметтің нәтижелері туралы хабардар етеді;</w:t>
      </w:r>
    </w:p>
    <w:bookmarkEnd w:id="24"/>
    <w:bookmarkStart w:name="z35" w:id="25"/>
    <w:p>
      <w:pPr>
        <w:spacing w:after="0"/>
        <w:ind w:left="0"/>
        <w:jc w:val="both"/>
      </w:pPr>
      <w:r>
        <w:rPr>
          <w:rFonts w:ascii="Times New Roman"/>
          <w:b w:val="false"/>
          <w:i w:val="false"/>
          <w:color w:val="000000"/>
          <w:sz w:val="28"/>
        </w:rPr>
        <w:t>
      185-6) өз құзыреті шегінде басқа да мемлекеттік органдармен және ұйымдармен бірлесіп адам саудасының алдын алу жөніндегі іс-шараларға қатысады;".</w:t>
      </w:r>
    </w:p>
    <w:bookmarkEnd w:id="25"/>
    <w:bookmarkStart w:name="z36" w:id="2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