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fd18" w14:textId="07af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10 қыркүйектегі № 732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291-жол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"Қазақстан тұрғын үй компаниясы" акционерлік қоғамы;</w:t>
            </w:r>
          </w:p>
          <w:p>
            <w:pPr>
              <w:spacing w:after="20"/>
              <w:ind w:left="20"/>
              <w:jc w:val="both"/>
            </w:pPr>
            <w:r>
              <w:rPr>
                <w:rFonts w:ascii="Times New Roman"/>
                <w:b w:val="false"/>
                <w:i w:val="false"/>
                <w:color w:val="000000"/>
                <w:sz w:val="20"/>
              </w:rPr>
              <w:t>
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қант өндіруші кәсіпорындарға қант қызылшасын өңдеу үшін айналым қаражатын толықтыруға кредит беру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"Қант өндіруші кәсіпорындарға қант қызылшасын өңдеу үшін айналым қаражатын толықтыруға кредит беру" бағыты бойынша − 2028 жылға дейін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