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f508" w14:textId="564f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индустриялық мұнай-химия технопаркі" арнайы экономикалық аймағының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24 шілдедегі № 595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индустриялық мұнай-химия технопаркі" арнайы экономикалық аймағының жұмыс істеу мерзімі "Ұлттық индустриялық мұнай-химия технопаркі" арнайы экономикалық аймағының кейбір мәселелері туралы" Қазақстан Республикасы Үкіметінің 2021 жылғы 11 тамыздағы № 548 қаулысымен бекітілген нысаналы индикаторларға қол жеткізу </w:t>
      </w:r>
      <w:r>
        <w:rPr>
          <w:rFonts w:ascii="Times New Roman"/>
          <w:b w:val="false"/>
          <w:i w:val="false"/>
          <w:color w:val="000000"/>
          <w:sz w:val="28"/>
        </w:rPr>
        <w:t>шартымен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2048 жылғы 31 желтоқсанға дейін ұзартылсын.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"Ұлттық индустриялық мұнай-химия технопаркі" арнайы экономикалық аймағының кейбір мәселелері туралы" Қазақстан Республикасы Үкіметінің 2021 жылғы 11 тамыздағы № 548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"Ұлттық индустриялық мұнай-химия технопаркі" арнайы экономикалық аймағының </w:t>
      </w:r>
      <w:r>
        <w:rPr>
          <w:rFonts w:ascii="Times New Roman"/>
          <w:b w:val="false"/>
          <w:i w:val="false"/>
          <w:color w:val="000000"/>
          <w:sz w:val="28"/>
        </w:rPr>
        <w:t>нысаналы индикаторлары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 жылғы 11 тамыздағы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548 қаулысымен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"Ұлттық индустриялық мұнай-химия технопаркі" арнайы экономикалық аймағының нысаналы индикаторлары</w:t>
      </w:r>
    </w:p>
    <w:bookmarkEnd w:id="5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Мақсаттар, міндеттер мен көрсеткіштер (атауы)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(2024 жыл)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жылға қарай қол жеткізу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 жылға қарай қол жеткізу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 жылға қарай қол жеткізу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 жылға қарай қол жеткізу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Инвестициялардың жалпы көлемі, оның ішінде: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инвестициялар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инвестициялар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 аумағында тауарлар мен көрсетілетін қызметтерді (жұмыстарды) өндіру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қызмет түрін жүзеге асыратын тұлғалар саны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 аумағында құрылатын жұмыс орындарының саны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 аумағындағы өндірістің жалпы көлеміндегі қазақстандық қамтудың үлесі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