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84f1" w14:textId="06f8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24 сәуірдегі № 319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300-5) тармақшамен толықтырылсын:</w:t>
      </w:r>
    </w:p>
    <w:bookmarkStart w:name="z5" w:id="3"/>
    <w:p>
      <w:pPr>
        <w:spacing w:after="0"/>
        <w:ind w:left="0"/>
        <w:jc w:val="both"/>
      </w:pPr>
      <w:r>
        <w:rPr>
          <w:rFonts w:ascii="Times New Roman"/>
          <w:b w:val="false"/>
          <w:i w:val="false"/>
          <w:color w:val="000000"/>
          <w:sz w:val="28"/>
        </w:rPr>
        <w:t>
      "300-5) салықтардың және бюджетке төленетін төлемдердің түсуін қамтамасыз ету саласындағы басшылықты жүзеге асыратын уәкілетті органмен келісу бойынша тиісті мақсаттарда пайдаланылмайтын немесе Қазақстан Республикасының заңнамасы бұзыла отырып пайдаланылатын жер учаскелерін анықтау тәртібін әзірлейді және бекітеді;".</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