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c937" w14:textId="c06c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хаттамаға қол қою туралы" Қазақстан Республикасы Үкіметінің 2023 жылғы 27 шілдедегі № 618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15 сәуірдегі № 287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хаттамаға қол қою туралы" Қазақстан Республикасы Үкіметінің 2023 жылғы 27 шілдедегі № 618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 Қазақстан Республикасының Көлік министрі Марат Кәрімжанұлы Қарабаевқа 2003 жылғы 25 желтоқсандағы Қазақстан Республикасының Үкіметі мен Қырғыз Республикасының Үкіметі арасындағы Мемлекеттік шекара арқылы өткізу пункттері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