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d004" w14:textId="266d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19 наурыздағы № 206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206 қаулысына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қаулысына өзгерістер енгізу туралы" Қазақстан Республикасы Үкіметінің 2021 жылғы 23 қыркүйектегі № 666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қаулысына өзгерістер енгізу туралы" Қазақстан Республикасы Үкіметінің 2023 жылғы 26 сәуірдегі № 327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