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ceba" w14:textId="5b1c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w:t>
      </w:r>
      <w:r>
        <w:rPr>
          <w:rFonts w:ascii="Times New Roman"/>
          <w:b w:val="false"/>
          <w:i w:val="false"/>
          <w:color w:val="000000"/>
          <w:sz w:val="28"/>
        </w:rPr>
        <w:t>қағидаларында</w:t>
      </w:r>
      <w:r>
        <w:rPr>
          <w:rFonts w:ascii="Times New Roman"/>
          <w:b w:val="false"/>
          <w:i w:val="false"/>
          <w:color w:val="000000"/>
          <w:sz w:val="28"/>
        </w:rPr>
        <w:t xml:space="preserve"> және пайдалы қазбаларды өндіру салығы бөлігінде салық салу тәртібінде: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төртінші бөлікпен толықтырылсын:</w:t>
      </w:r>
    </w:p>
    <w:bookmarkStart w:name="z5" w:id="3"/>
    <w:p>
      <w:pPr>
        <w:spacing w:after="0"/>
        <w:ind w:left="0"/>
        <w:jc w:val="both"/>
      </w:pPr>
      <w:r>
        <w:rPr>
          <w:rFonts w:ascii="Times New Roman"/>
          <w:b w:val="false"/>
          <w:i w:val="false"/>
          <w:color w:val="000000"/>
          <w:sz w:val="28"/>
        </w:rPr>
        <w:t xml:space="preserve">
      "Осы тармақтың үшінші бөлігінде көрсетілген, қала құраушы заңды тұлғалардың тізбесіне енгізілген жер қойнауын пайдаланушыларға осы Қағидалардың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 қолданылмайды.". </w:t>
      </w:r>
    </w:p>
    <w:bookmarkEnd w:id="3"/>
    <w:bookmarkStart w:name="z6" w:id="4"/>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