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8d83" w14:textId="97e8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2023 жылғы 16 маусымдағы № 483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Денсаулық сақтау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мазмұндағы 217-1) тармақшамен толықтырылсын:</w:t>
      </w:r>
    </w:p>
    <w:p>
      <w:pPr>
        <w:spacing w:after="0"/>
        <w:ind w:left="0"/>
        <w:jc w:val="both"/>
      </w:pPr>
      <w:r>
        <w:rPr>
          <w:rFonts w:ascii="Times New Roman"/>
          <w:b w:val="false"/>
          <w:i w:val="false"/>
          <w:color w:val="000000"/>
          <w:sz w:val="28"/>
        </w:rPr>
        <w:t>
      "217-1) әлеуметтік қамсыздандыру саласындағы уәкілетті мемлекеттік орган айқындайтын бірыңғай төлемді, бірыңғай төлем бойынша өсімпұлды төлеу, аудару және оларды жеке табыс салығы және әлеуметтік төлемдер (міндетті кәсіптік зейнетақы жарналарын қоспағанда), өсімпұл түрінде бөлу, сондай-ақ оларды қайтару тәртібін келісу;".</w:t>
      </w:r>
    </w:p>
    <w:bookmarkStart w:name="z4"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