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5619" w14:textId="6de5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17 қазандағы № 828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 ратификациялау туралы</w:t>
      </w:r>
    </w:p>
    <w:bookmarkEnd w:id="3"/>
    <w:bookmarkStart w:name="z6" w:id="4"/>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2021 жылғы 30 желтоқсанда Мәскеуде жасалған хаттама ратификациялансын.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БЕИРЕСМИ АУДАРМА</w:t>
            </w:r>
          </w:p>
        </w:tc>
      </w:tr>
    </w:tbl>
    <w:bookmarkStart w:name="z8" w:id="5"/>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хаттама енгізу туралы</w:t>
      </w:r>
    </w:p>
    <w:bookmarkEnd w:id="5"/>
    <w:bookmarkStart w:name="z9" w:id="6"/>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 төмендегілер туралы келісті:</w:t>
      </w:r>
    </w:p>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11-бабын, мынадай редакцияда жазылып, оған өзгеріс енгізілсін:</w:t>
      </w:r>
    </w:p>
    <w:bookmarkEnd w:id="7"/>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Өтпелі кезең</w:t>
      </w:r>
    </w:p>
    <w:bookmarkStart w:name="z13" w:id="8"/>
    <w:p>
      <w:pPr>
        <w:spacing w:after="0"/>
        <w:ind w:left="0"/>
        <w:jc w:val="both"/>
      </w:pPr>
      <w:r>
        <w:rPr>
          <w:rFonts w:ascii="Times New Roman"/>
          <w:b w:val="false"/>
          <w:i w:val="false"/>
          <w:color w:val="000000"/>
          <w:sz w:val="28"/>
        </w:rPr>
        <w:t>
      2021 жылғы 31 желтоқсанға дейін медициналық бұйымның сараптамасы немесе оны тіркеу туралы өтініш мүше мемлекеттің заңнамасында көзделген тәртіппен берілуі мүмкін. Егер медициналық бұйымның сараптамасы немесе оны тіркеу туралы өтініш мүше мемлекеттің заңнамасында көзделген тәртіппен 2021 жылғы 31 желтоқсанға дейін берілсе, медициналық бұйымды тіркеу мүше мемлекеттің заңнамасында көзделген тәртіппен жүзеге асырылуы мүмкін.</w:t>
      </w:r>
    </w:p>
    <w:bookmarkEnd w:id="8"/>
    <w:bookmarkStart w:name="z14" w:id="9"/>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оны тіркеу фактісін растайтын құжаттардың қолданылу мерзімі аяқталғанға дейін осы мүше мемлекеттің аумағында айналысқа шығарылады және тек осы мүше мемлекеттің аумағында ғана айналыста болады.</w:t>
      </w:r>
    </w:p>
    <w:bookmarkEnd w:id="9"/>
    <w:bookmarkStart w:name="z15" w:id="10"/>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(өзіне қатысты тіркеу фактісін растайтын мерзімсіз құжат берілген медициналық бұйымды қоспағанда) 2026 жылғы 31 желтоқсанға дейін тиісті өтініш берілген жағдайда, мүше мемлекеттің заңнамасында көзделген тәртіппен қайта тіркелуі (тіркеу фактісін растайтын құжат қайта ресімделуі) мүмкін.</w:t>
      </w:r>
    </w:p>
    <w:bookmarkEnd w:id="10"/>
    <w:bookmarkStart w:name="z16" w:id="11"/>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бұйымның тіркеу құжаттарына (осы Келісімнің 4-бабының 2-тармағында көзделген тәртіпке сәйкес жаңа тіркеу жүргізуді талап ететін өзгерістерді қоспағанда) 2026 жылғы 31 желтоқсанға дейін тиісті өтініш берілген жағдайда өзгерістер енгізуге жол беріледі.".</w:t>
      </w:r>
    </w:p>
    <w:bookmarkEnd w:id="11"/>
    <w:p>
      <w:pPr>
        <w:spacing w:after="0"/>
        <w:ind w:left="0"/>
        <w:jc w:val="both"/>
      </w:pPr>
      <w:r>
        <w:rPr>
          <w:rFonts w:ascii="Times New Roman"/>
          <w:b/>
          <w:i w:val="false"/>
          <w:color w:val="000000"/>
          <w:sz w:val="28"/>
        </w:rPr>
        <w:t>2-бап</w:t>
      </w:r>
    </w:p>
    <w:bookmarkStart w:name="z18" w:id="12"/>
    <w:p>
      <w:pPr>
        <w:spacing w:after="0"/>
        <w:ind w:left="0"/>
        <w:jc w:val="both"/>
      </w:pPr>
      <w:r>
        <w:rPr>
          <w:rFonts w:ascii="Times New Roman"/>
          <w:b w:val="false"/>
          <w:i w:val="false"/>
          <w:color w:val="000000"/>
          <w:sz w:val="28"/>
        </w:rPr>
        <w:t>
      Осы Хаттаманы мүше мемлекеттер 2022 жылғы 1 қаңтардан бастап уақытша қолданады, ал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бірақ 2022 жылғы 1 қаңтардан кейін қолданылады.</w:t>
      </w:r>
    </w:p>
    <w:bookmarkEnd w:id="12"/>
    <w:bookmarkStart w:name="z19" w:id="13"/>
    <w:p>
      <w:pPr>
        <w:spacing w:after="0"/>
        <w:ind w:left="0"/>
        <w:jc w:val="both"/>
      </w:pPr>
      <w:r>
        <w:rPr>
          <w:rFonts w:ascii="Times New Roman"/>
          <w:b w:val="false"/>
          <w:i w:val="false"/>
          <w:color w:val="000000"/>
          <w:sz w:val="28"/>
        </w:rPr>
        <w:t>
      Осы Хаттама депозитарий дипломатиялық арналар арқылы мүше мемлекеттердің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bookmarkEnd w:id="13"/>
    <w:bookmarkStart w:name="z20" w:id="14"/>
    <w:p>
      <w:pPr>
        <w:spacing w:after="0"/>
        <w:ind w:left="0"/>
        <w:jc w:val="both"/>
      </w:pPr>
      <w:r>
        <w:rPr>
          <w:rFonts w:ascii="Times New Roman"/>
          <w:b w:val="false"/>
          <w:i w:val="false"/>
          <w:color w:val="000000"/>
          <w:sz w:val="28"/>
        </w:rPr>
        <w:t>
      2021 жылғы "30" желтоқсанда Мәскеу қаласында орыс тілінде бір төлнұсқа данада жасалды.</w:t>
      </w:r>
    </w:p>
    <w:bookmarkEnd w:id="14"/>
    <w:bookmarkStart w:name="z21" w:id="1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Хатгаманың депозитарийі бола отырып, әрбір мүше мемлекетке оның куәландырылған көшірмесін жібереді.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Армения</w:t>
            </w:r>
          </w:p>
          <w:p>
            <w:pPr>
              <w:spacing w:after="20"/>
              <w:ind w:left="20"/>
              <w:jc w:val="both"/>
            </w:pPr>
            <w:r>
              <w:rPr>
                <w:rFonts w:ascii="Times New Roman"/>
                <w:b w:val="false"/>
                <w:i w:val="false"/>
                <w:color w:val="000000"/>
                <w:sz w:val="20"/>
              </w:rPr>
              <w:t>
</w:t>
            </w:r>
            <w:r>
              <w:rPr>
                <w:rFonts w:ascii="Times New Roman"/>
                <w:b/>
                <w:i w:val="false"/>
                <w:color w:val="000000"/>
                <w:sz w:val="20"/>
              </w:rPr>
              <w:t>Ре</w:t>
            </w:r>
            <w:r>
              <w:rPr>
                <w:rFonts w:ascii="Times New Roman"/>
                <w:b/>
                <w:i w:val="false"/>
                <w:color w:val="000000"/>
                <w:sz w:val="20"/>
              </w:rPr>
              <w:t>с</w:t>
            </w:r>
            <w:r>
              <w:rPr>
                <w:rFonts w:ascii="Times New Roman"/>
                <w:b/>
                <w:i w:val="false"/>
                <w:color w:val="000000"/>
                <w:sz w:val="20"/>
              </w:rPr>
              <w:t>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w:t>
            </w:r>
            <w:r>
              <w:rPr>
                <w:rFonts w:ascii="Times New Roman"/>
                <w:b/>
                <w:i w:val="false"/>
                <w:color w:val="000000"/>
                <w:sz w:val="20"/>
              </w:rPr>
              <w:t>с</w:t>
            </w:r>
            <w:r>
              <w:rPr>
                <w:rFonts w:ascii="Times New Roman"/>
                <w:b/>
                <w:i w:val="false"/>
                <w:color w:val="000000"/>
                <w:sz w:val="20"/>
              </w:rPr>
              <w:t>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w:t>
            </w:r>
            <w:r>
              <w:rPr>
                <w:rFonts w:ascii="Times New Roman"/>
                <w:b/>
                <w:i w:val="false"/>
                <w:color w:val="000000"/>
                <w:sz w:val="20"/>
              </w:rPr>
              <w:t>қ</w:t>
            </w:r>
            <w:r>
              <w:rPr>
                <w:rFonts w:ascii="Times New Roman"/>
                <w:b/>
                <w:i w:val="false"/>
                <w:color w:val="000000"/>
                <w:sz w:val="20"/>
              </w:rPr>
              <w:t>стан</w:t>
            </w:r>
          </w:p>
          <w:p>
            <w:pPr>
              <w:spacing w:after="20"/>
              <w:ind w:left="20"/>
              <w:jc w:val="both"/>
            </w:pPr>
            <w:r>
              <w:rPr>
                <w:rFonts w:ascii="Times New Roman"/>
                <w:b w:val="false"/>
                <w:i w:val="false"/>
                <w:color w:val="000000"/>
                <w:sz w:val="20"/>
              </w:rPr>
              <w:t>
</w:t>
            </w:r>
            <w:r>
              <w:rPr>
                <w:rFonts w:ascii="Times New Roman"/>
                <w:b/>
                <w:i w:val="false"/>
                <w:color w:val="000000"/>
                <w:sz w:val="20"/>
              </w:rPr>
              <w:t>Ре</w:t>
            </w:r>
            <w:r>
              <w:rPr>
                <w:rFonts w:ascii="Times New Roman"/>
                <w:b/>
                <w:i w:val="false"/>
                <w:color w:val="000000"/>
                <w:sz w:val="20"/>
              </w:rPr>
              <w:t>с</w:t>
            </w:r>
            <w:r>
              <w:rPr>
                <w:rFonts w:ascii="Times New Roman"/>
                <w:b/>
                <w:i w:val="false"/>
                <w:color w:val="000000"/>
                <w:sz w:val="20"/>
              </w:rPr>
              <w:t>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val="false"/>
                <w:i w:val="false"/>
                <w:color w:val="000000"/>
                <w:sz w:val="20"/>
              </w:rPr>
              <w:t>
</w:t>
            </w:r>
            <w:r>
              <w:rPr>
                <w:rFonts w:ascii="Times New Roman"/>
                <w:b/>
                <w:i w:val="false"/>
                <w:color w:val="000000"/>
                <w:sz w:val="20"/>
              </w:rPr>
              <w:t>Ре</w:t>
            </w:r>
            <w:r>
              <w:rPr>
                <w:rFonts w:ascii="Times New Roman"/>
                <w:b/>
                <w:i w:val="false"/>
                <w:color w:val="000000"/>
                <w:sz w:val="20"/>
              </w:rPr>
              <w:t>с</w:t>
            </w:r>
            <w:r>
              <w:rPr>
                <w:rFonts w:ascii="Times New Roman"/>
                <w:b/>
                <w:i w:val="false"/>
                <w:color w:val="000000"/>
                <w:sz w:val="20"/>
              </w:rPr>
              <w:t>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p>
            <w:pPr>
              <w:spacing w:after="20"/>
              <w:ind w:left="20"/>
              <w:jc w:val="both"/>
            </w:pPr>
            <w:r>
              <w:rPr>
                <w:rFonts w:ascii="Times New Roman"/>
                <w:b w:val="false"/>
                <w:i w:val="false"/>
                <w:color w:val="000000"/>
                <w:sz w:val="20"/>
              </w:rPr>
              <w:t>
</w:t>
            </w:r>
            <w:r>
              <w:rPr>
                <w:rFonts w:ascii="Times New Roman"/>
                <w:b/>
                <w:i w:val="false"/>
                <w:color w:val="000000"/>
                <w:sz w:val="20"/>
              </w:rPr>
              <w:t>үшін</w:t>
            </w:r>
          </w:p>
        </w:tc>
      </w:tr>
    </w:tbl>
    <w:p>
      <w:pPr>
        <w:spacing w:after="0"/>
        <w:ind w:left="0"/>
        <w:jc w:val="left"/>
      </w:pP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Осымен бұл мәтін 2021 жылғы 30 желтоқсанда Мәскеу қаласында қол қойылған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толық және теңтүпнұсқалы көшірмесі болып табылатынын куәландырамын:</w:t>
      </w:r>
    </w:p>
    <w:bookmarkEnd w:id="16"/>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Республикасының Денсаулық сақтау министрі Д.Л. Пиневич;</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 Министрлер кабинеті төрағасының Бірінші орынбасары А.О. Қожошев;</w:t>
      </w:r>
    </w:p>
    <w:p>
      <w:pPr>
        <w:spacing w:after="0"/>
        <w:ind w:left="0"/>
        <w:jc w:val="both"/>
      </w:pPr>
      <w:r>
        <w:rPr>
          <w:rFonts w:ascii="Times New Roman"/>
          <w:b w:val="false"/>
          <w:i w:val="false"/>
          <w:color w:val="000000"/>
          <w:sz w:val="28"/>
        </w:rPr>
        <w:t>
      Ресей Федерациясы үшін - Ресей Федерациясының Үкіметі төрағасының орынбасары - A.Л. Оверчук.</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p>
      <w:pPr>
        <w:spacing w:after="0"/>
        <w:ind w:left="0"/>
        <w:jc w:val="both"/>
      </w:pPr>
      <w:r>
        <w:rPr>
          <w:rFonts w:ascii="Times New Roman"/>
          <w:b w:val="false"/>
          <w:i w:val="false"/>
          <w:color w:val="000000"/>
          <w:sz w:val="28"/>
        </w:rPr>
        <w:t>
      Барлығы 3 парақ тігілген, қолмен және мөрмен бекітілген</w:t>
      </w:r>
    </w:p>
    <w:p>
      <w:pPr>
        <w:spacing w:after="0"/>
        <w:ind w:left="0"/>
        <w:jc w:val="both"/>
      </w:pPr>
      <w:r>
        <w:rPr>
          <w:rFonts w:ascii="Times New Roman"/>
          <w:b w:val="false"/>
          <w:i w:val="false"/>
          <w:color w:val="000000"/>
          <w:sz w:val="28"/>
        </w:rPr>
        <w:t>
      Еуразиялық экономикалық комиссияның Құқықтық департаментінің директоры В.И. Тараскин</w:t>
      </w:r>
    </w:p>
    <w:p>
      <w:pPr>
        <w:spacing w:after="0"/>
        <w:ind w:left="0"/>
        <w:jc w:val="both"/>
      </w:pPr>
      <w:r>
        <w:rPr>
          <w:rFonts w:ascii="Times New Roman"/>
          <w:b w:val="false"/>
          <w:i w:val="false"/>
          <w:color w:val="000000"/>
          <w:sz w:val="28"/>
        </w:rPr>
        <w:t>
      Осымен бұл мәтін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теңтүпнұсқалы көшірмесі болып табылатынын куәландырамын.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