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961" w14:textId="415c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коронавирусына қарсы вакциналарды уақытша мемлекеттік тіркеу қағидаларын бекіту туралы" Қазақстан Республикасы Үкіметінің 2020 жылғы 15 желтоқсандағы № 850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17 тамыздағы № 566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"COVID-19 коронавирусына қарсы вакциналарды уақытша мемлекеттік тіркеу қағидаларын бекіту туралы" Қазақстан Республикасы Үкіметінің 2020 жылғы 15 желтоқсандағы № 850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COVID-19 коронавирусына қарсы вакциналарды уақытша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COVID-19 коронавирусына қарсы вакциналарды уақытша мемлекеттік тіркеу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9) тармақшасына</w:t>
      </w: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әрі тәжірибелік және өнеркәсіптік партия өндірісі үшін COVID-19 коронавирусына қарсы вакциналарды (бұдан әрі – вакцина) уақытша мемлекеттік тіркеуді жүргізу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 Вакциналарды уақытша мемлекеттік тіркеу үшін өтініш беруші мемлекеттік сараптама ұйымына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пен құжаттар тізбесін ұсынады.</w:t>
      </w:r>
    </w:p>
    <w:bookmarkEnd w:id="6"/>
    <w:bookmarkStart w:name="z10" w:id="7"/>
    <w:p>
      <w:pPr>
        <w:spacing w:after="0"/>
        <w:ind w:left="0"/>
        <w:jc w:val="both"/>
      </w:pPr>
      <w:r>
        <w:rPr>
          <w:rFonts w:ascii="Times New Roman"/>
          <w:b w:val="false"/>
          <w:i w:val="false"/>
          <w:color w:val="000000"/>
          <w:sz w:val="28"/>
        </w:rPr>
        <w:t>
      Өтініш беруші өтініш бергенге дейін өз бастамасы бойынша мемлекеттік органда және (немесе) мемлекеттік сараптама ұйымында COVID-19 коронавирусына қарсы вакциналарды уақытша мемлекеттік тіркеуді жүргізумен байланысты мәселелер бойынша ғылыми және тіркеуалды консультациялар алады.</w:t>
      </w:r>
    </w:p>
    <w:bookmarkEnd w:id="7"/>
    <w:bookmarkStart w:name="z11"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"Б. Сапаның өзгеруі" деген бөлімде:</w:t>
      </w:r>
    </w:p>
    <w:bookmarkEnd w:id="9"/>
    <w:bookmarkStart w:name="z13" w:id="10"/>
    <w:p>
      <w:pPr>
        <w:spacing w:after="0"/>
        <w:ind w:left="0"/>
        <w:jc w:val="both"/>
      </w:pPr>
      <w:r>
        <w:rPr>
          <w:rFonts w:ascii="Times New Roman"/>
          <w:b w:val="false"/>
          <w:i w:val="false"/>
          <w:color w:val="000000"/>
          <w:sz w:val="28"/>
        </w:rPr>
        <w:t>
      "Б. I Белсенді фармацевтикалық субстанция" деген кіші бөлімде:</w:t>
      </w:r>
    </w:p>
    <w:bookmarkEnd w:id="10"/>
    <w:bookmarkStart w:name="z14"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Тұмаудың профилактикасына арналған маусымдық, пандемия алды немесе пандемиялық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тұмаудың профилактикасы үшін маусымдық, пандемия алды немесе пандемия вакцинасы штамдарын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SARS-CoV-2 туындатқан COVID-19 коронавирусына қарсы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p>
            <w:pPr>
              <w:spacing w:after="20"/>
              <w:ind w:left="20"/>
              <w:jc w:val="both"/>
            </w:pPr>
            <w:r>
              <w:rPr>
                <w:rFonts w:ascii="Times New Roman"/>
                <w:b w:val="false"/>
                <w:i w:val="false"/>
                <w:color w:val="000000"/>
                <w:sz w:val="20"/>
              </w:rPr>
              <w:t>
1) дәлелді негіздемесі бар ілеспе хат;</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сапа бойынша өзектілендірілген құжаттар:</w:t>
            </w:r>
          </w:p>
          <w:p>
            <w:pPr>
              <w:spacing w:after="20"/>
              <w:ind w:left="20"/>
              <w:jc w:val="both"/>
            </w:pPr>
            <w:r>
              <w:rPr>
                <w:rFonts w:ascii="Times New Roman"/>
                <w:b w:val="false"/>
                <w:i w:val="false"/>
                <w:color w:val="000000"/>
                <w:sz w:val="20"/>
              </w:rPr>
              <w:t>
белсенді фармацевтикалық субстанция бойынша:</w:t>
            </w:r>
          </w:p>
          <w:p>
            <w:pPr>
              <w:spacing w:after="20"/>
              <w:ind w:left="20"/>
              <w:jc w:val="both"/>
            </w:pPr>
            <w:r>
              <w:rPr>
                <w:rFonts w:ascii="Times New Roman"/>
                <w:b w:val="false"/>
                <w:i w:val="false"/>
                <w:color w:val="000000"/>
                <w:sz w:val="20"/>
              </w:rPr>
              <w:t>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өндіруші, өндіріс процесінің сипаттамасы және оны бақылау;</w:t>
            </w:r>
          </w:p>
          <w:p>
            <w:pPr>
              <w:spacing w:after="20"/>
              <w:ind w:left="20"/>
              <w:jc w:val="both"/>
            </w:pPr>
            <w:r>
              <w:rPr>
                <w:rFonts w:ascii="Times New Roman"/>
                <w:b w:val="false"/>
                <w:i w:val="false"/>
                <w:color w:val="000000"/>
                <w:sz w:val="20"/>
              </w:rPr>
              <w:t>
бастапқы материалдарды бақылау;</w:t>
            </w:r>
          </w:p>
          <w:p>
            <w:pPr>
              <w:spacing w:after="20"/>
              <w:ind w:left="20"/>
              <w:jc w:val="both"/>
            </w:pPr>
            <w:r>
              <w:rPr>
                <w:rFonts w:ascii="Times New Roman"/>
                <w:b w:val="false"/>
                <w:i w:val="false"/>
                <w:color w:val="000000"/>
                <w:sz w:val="20"/>
              </w:rPr>
              <w:t>
сыни кезеңдер мен аралық өнімді бақылау;</w:t>
            </w:r>
          </w:p>
          <w:p>
            <w:pPr>
              <w:spacing w:after="20"/>
              <w:ind w:left="20"/>
              <w:jc w:val="both"/>
            </w:pPr>
            <w:r>
              <w:rPr>
                <w:rFonts w:ascii="Times New Roman"/>
                <w:b w:val="false"/>
                <w:i w:val="false"/>
                <w:color w:val="000000"/>
                <w:sz w:val="20"/>
              </w:rPr>
              <w:t>
процестің валидациясы және (немесе) оны бағалау;</w:t>
            </w:r>
          </w:p>
          <w:p>
            <w:pPr>
              <w:spacing w:after="20"/>
              <w:ind w:left="20"/>
              <w:jc w:val="both"/>
            </w:pPr>
            <w:r>
              <w:rPr>
                <w:rFonts w:ascii="Times New Roman"/>
                <w:b w:val="false"/>
                <w:i w:val="false"/>
                <w:color w:val="000000"/>
                <w:sz w:val="20"/>
              </w:rPr>
              <w:t>
өндірістік процестің әзірлемесі;</w:t>
            </w:r>
          </w:p>
          <w:p>
            <w:pPr>
              <w:spacing w:after="20"/>
              <w:ind w:left="20"/>
              <w:jc w:val="both"/>
            </w:pPr>
            <w:r>
              <w:rPr>
                <w:rFonts w:ascii="Times New Roman"/>
                <w:b w:val="false"/>
                <w:i w:val="false"/>
                <w:color w:val="000000"/>
                <w:sz w:val="20"/>
              </w:rPr>
              <w:t>
құрылымы мен сипаттамаларын дәлелдеу;</w:t>
            </w:r>
          </w:p>
          <w:p>
            <w:pPr>
              <w:spacing w:after="20"/>
              <w:ind w:left="20"/>
              <w:jc w:val="both"/>
            </w:pPr>
            <w:r>
              <w:rPr>
                <w:rFonts w:ascii="Times New Roman"/>
                <w:b w:val="false"/>
                <w:i w:val="false"/>
                <w:color w:val="000000"/>
                <w:sz w:val="20"/>
              </w:rPr>
              <w:t>
қоспалар;</w:t>
            </w:r>
          </w:p>
          <w:p>
            <w:pPr>
              <w:spacing w:after="20"/>
              <w:ind w:left="20"/>
              <w:jc w:val="both"/>
            </w:pPr>
            <w:r>
              <w:rPr>
                <w:rFonts w:ascii="Times New Roman"/>
                <w:b w:val="false"/>
                <w:i w:val="false"/>
                <w:color w:val="000000"/>
                <w:sz w:val="20"/>
              </w:rPr>
              <w:t>
сапаның өзіндік ерекшелігі;</w:t>
            </w:r>
          </w:p>
          <w:p>
            <w:pPr>
              <w:spacing w:after="20"/>
              <w:ind w:left="20"/>
              <w:jc w:val="both"/>
            </w:pPr>
            <w:r>
              <w:rPr>
                <w:rFonts w:ascii="Times New Roman"/>
                <w:b w:val="false"/>
                <w:i w:val="false"/>
                <w:color w:val="000000"/>
                <w:sz w:val="20"/>
              </w:rPr>
              <w:t>
талдамалық әдістемелер;</w:t>
            </w:r>
          </w:p>
          <w:p>
            <w:pPr>
              <w:spacing w:after="20"/>
              <w:ind w:left="20"/>
              <w:jc w:val="both"/>
            </w:pPr>
            <w:r>
              <w:rPr>
                <w:rFonts w:ascii="Times New Roman"/>
                <w:b w:val="false"/>
                <w:i w:val="false"/>
                <w:color w:val="000000"/>
                <w:sz w:val="20"/>
              </w:rPr>
              <w:t>
талдамалық әдістемелердің валидациясы;</w:t>
            </w:r>
          </w:p>
          <w:p>
            <w:pPr>
              <w:spacing w:after="20"/>
              <w:ind w:left="20"/>
              <w:jc w:val="both"/>
            </w:pPr>
            <w:r>
              <w:rPr>
                <w:rFonts w:ascii="Times New Roman"/>
                <w:b w:val="false"/>
                <w:i w:val="false"/>
                <w:color w:val="000000"/>
                <w:sz w:val="20"/>
              </w:rPr>
              <w:t>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өзіндік ерекшеліктің негіздемесі;</w:t>
            </w:r>
          </w:p>
          <w:p>
            <w:pPr>
              <w:spacing w:after="20"/>
              <w:ind w:left="20"/>
              <w:jc w:val="both"/>
            </w:pPr>
            <w:r>
              <w:rPr>
                <w:rFonts w:ascii="Times New Roman"/>
                <w:b w:val="false"/>
                <w:i w:val="false"/>
                <w:color w:val="000000"/>
                <w:sz w:val="20"/>
              </w:rPr>
              <w:t>
стандартты үлгілер немесе заттар;</w:t>
            </w:r>
          </w:p>
          <w:p>
            <w:pPr>
              <w:spacing w:after="20"/>
              <w:ind w:left="20"/>
              <w:jc w:val="both"/>
            </w:pPr>
            <w:r>
              <w:rPr>
                <w:rFonts w:ascii="Times New Roman"/>
                <w:b w:val="false"/>
                <w:i w:val="false"/>
                <w:color w:val="000000"/>
                <w:sz w:val="20"/>
              </w:rPr>
              <w:t>
қаптау (тығындау) жүйесі;</w:t>
            </w:r>
          </w:p>
          <w:p>
            <w:pPr>
              <w:spacing w:after="20"/>
              <w:ind w:left="20"/>
              <w:jc w:val="both"/>
            </w:pPr>
            <w:r>
              <w:rPr>
                <w:rFonts w:ascii="Times New Roman"/>
                <w:b w:val="false"/>
                <w:i w:val="false"/>
                <w:color w:val="000000"/>
                <w:sz w:val="20"/>
              </w:rPr>
              <w:t>
тұрақтылыққа қатысты түйіндеме және тұжырымдар;</w:t>
            </w:r>
          </w:p>
          <w:p>
            <w:pPr>
              <w:spacing w:after="20"/>
              <w:ind w:left="20"/>
              <w:jc w:val="both"/>
            </w:pPr>
            <w:r>
              <w:rPr>
                <w:rFonts w:ascii="Times New Roman"/>
                <w:b w:val="false"/>
                <w:i w:val="false"/>
                <w:color w:val="000000"/>
                <w:sz w:val="20"/>
              </w:rPr>
              <w:t>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тұрақтылық туралы деректер;</w:t>
            </w:r>
          </w:p>
          <w:p>
            <w:pPr>
              <w:spacing w:after="20"/>
              <w:ind w:left="20"/>
              <w:jc w:val="both"/>
            </w:pPr>
            <w:r>
              <w:rPr>
                <w:rFonts w:ascii="Times New Roman"/>
                <w:b w:val="false"/>
                <w:i w:val="false"/>
                <w:color w:val="000000"/>
                <w:sz w:val="20"/>
              </w:rPr>
              <w:t>
дайын препарат бойынша:</w:t>
            </w:r>
          </w:p>
          <w:p>
            <w:pPr>
              <w:spacing w:after="20"/>
              <w:ind w:left="20"/>
              <w:jc w:val="both"/>
            </w:pPr>
            <w:r>
              <w:rPr>
                <w:rFonts w:ascii="Times New Roman"/>
                <w:b w:val="false"/>
                <w:i w:val="false"/>
                <w:color w:val="000000"/>
                <w:sz w:val="20"/>
              </w:rPr>
              <w:t>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w:t>
            </w:r>
          </w:p>
          <w:p>
            <w:pPr>
              <w:spacing w:after="20"/>
              <w:ind w:left="20"/>
              <w:jc w:val="both"/>
            </w:pPr>
            <w:r>
              <w:rPr>
                <w:rFonts w:ascii="Times New Roman"/>
                <w:b w:val="false"/>
                <w:i w:val="false"/>
                <w:color w:val="000000"/>
                <w:sz w:val="20"/>
              </w:rPr>
              <w:t>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фармацевтикалық әзірлеме (БФС, қосалқы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өндірістік формула;</w:t>
            </w:r>
          </w:p>
          <w:p>
            <w:pPr>
              <w:spacing w:after="20"/>
              <w:ind w:left="20"/>
              <w:jc w:val="both"/>
            </w:pPr>
            <w:r>
              <w:rPr>
                <w:rFonts w:ascii="Times New Roman"/>
                <w:b w:val="false"/>
                <w:i w:val="false"/>
                <w:color w:val="000000"/>
                <w:sz w:val="20"/>
              </w:rPr>
              <w:t>
өндіріс технологиясының сипаттамасы;</w:t>
            </w:r>
          </w:p>
          <w:p>
            <w:pPr>
              <w:spacing w:after="20"/>
              <w:ind w:left="20"/>
              <w:jc w:val="both"/>
            </w:pPr>
            <w:r>
              <w:rPr>
                <w:rFonts w:ascii="Times New Roman"/>
                <w:b w:val="false"/>
                <w:i w:val="false"/>
                <w:color w:val="000000"/>
                <w:sz w:val="20"/>
              </w:rPr>
              <w:t>
өндіріс процесіндегі бақылау (операциялық бақылау);</w:t>
            </w:r>
          </w:p>
          <w:p>
            <w:pPr>
              <w:spacing w:after="20"/>
              <w:ind w:left="20"/>
              <w:jc w:val="both"/>
            </w:pPr>
            <w:r>
              <w:rPr>
                <w:rFonts w:ascii="Times New Roman"/>
                <w:b w:val="false"/>
                <w:i w:val="false"/>
                <w:color w:val="000000"/>
                <w:sz w:val="20"/>
              </w:rPr>
              <w:t>
бастапқы материалдарды бақылау әдістері;</w:t>
            </w:r>
          </w:p>
          <w:p>
            <w:pPr>
              <w:spacing w:after="20"/>
              <w:ind w:left="20"/>
              <w:jc w:val="both"/>
            </w:pPr>
            <w:r>
              <w:rPr>
                <w:rFonts w:ascii="Times New Roman"/>
                <w:b w:val="false"/>
                <w:i w:val="false"/>
                <w:color w:val="000000"/>
                <w:sz w:val="20"/>
              </w:rPr>
              <w:t>
қосалқы заттарға арналған сапа сертификаттары;</w:t>
            </w:r>
          </w:p>
          <w:p>
            <w:pPr>
              <w:spacing w:after="20"/>
              <w:ind w:left="20"/>
              <w:jc w:val="both"/>
            </w:pPr>
            <w:r>
              <w:rPr>
                <w:rFonts w:ascii="Times New Roman"/>
                <w:b w:val="false"/>
                <w:i w:val="false"/>
                <w:color w:val="000000"/>
                <w:sz w:val="20"/>
              </w:rPr>
              <w:t>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дәрілік препаратты сынау әдістемелерінің валидациясы;</w:t>
            </w:r>
          </w:p>
          <w:p>
            <w:pPr>
              <w:spacing w:after="20"/>
              <w:ind w:left="20"/>
              <w:jc w:val="both"/>
            </w:pPr>
            <w:r>
              <w:rPr>
                <w:rFonts w:ascii="Times New Roman"/>
                <w:b w:val="false"/>
                <w:i w:val="false"/>
                <w:color w:val="000000"/>
                <w:sz w:val="20"/>
              </w:rPr>
              <w:t>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сапаны растайтын қосымша ақпарат (қажет болған жағдайда);</w:t>
            </w:r>
          </w:p>
          <w:p>
            <w:pPr>
              <w:spacing w:after="20"/>
              <w:ind w:left="20"/>
              <w:jc w:val="both"/>
            </w:pPr>
            <w:r>
              <w:rPr>
                <w:rFonts w:ascii="Times New Roman"/>
                <w:b w:val="false"/>
                <w:i w:val="false"/>
                <w:color w:val="000000"/>
                <w:sz w:val="20"/>
              </w:rPr>
              <w:t>
4) уақытша тіркеуді алғаннан кейін нұсқалық вакцинаның иммуногенділігіне клиникалық зерттеу жүргізу туралы уақытша тіркеу куәлігін ұстаушының кепілдік хаты (еркін нысанда</w:t>
            </w:r>
          </w:p>
          <w:p>
            <w:pPr>
              <w:spacing w:after="20"/>
              <w:ind w:left="20"/>
              <w:jc w:val="both"/>
            </w:pPr>
            <w:r>
              <w:rPr>
                <w:rFonts w:ascii="Times New Roman"/>
                <w:b w:val="false"/>
                <w:i w:val="false"/>
                <w:color w:val="000000"/>
                <w:sz w:val="20"/>
              </w:rPr>
              <w:t>
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SARS-CoV-2 өзгертілген штамынан (штамдарынан) қорғауға арналған вакциналарға қойылатын нормативтік талаптар туралы EMA/117973/2021 және адамды коронавирустан қорғауға арналған вакциналарға арналған нұсқалық штамдарды жаңарту жөніндегі әдістемелік нұсқаулар туралы EMA/175959/2021 нұсқаулығы ескеріле отырып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"Б. II Дәрілік препарат" деген кіші бөлімде:</w:t>
      </w:r>
    </w:p>
    <w:bookmarkEnd w:id="13"/>
    <w:bookmarkStart w:name="z17"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Дәрілік препарат өндірісінің бір бөлігі немесе барлық процестері үшін өндірістік алаңды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сапасын бақылауды және қайталама қаптаманы қоспағанда, күрделі өндірістік процестердің көмегімен өндірілген биологиялық/иммунологиялық дәрілік препараттар немесе дәрілік нысандар үшін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немесе арнайы инспекция жүргізуді талап ететін алаң немесе инспекция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сапасын бақылауды және қайталама қаптаманы қоспағанда, асептикалық әдістерді (биологиялық/ иммунологиялық дәрілік препараттарды қоспағанда) пайдалана отырып жүргізілетін стерильді дәрілік препараттармен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тараптың өндірістік алаңының тиісті өндірістік практика сертификатының (GMP) болуы.</w:t>
            </w:r>
          </w:p>
          <w:p>
            <w:pPr>
              <w:spacing w:after="20"/>
              <w:ind w:left="20"/>
              <w:jc w:val="both"/>
            </w:pPr>
            <w:r>
              <w:rPr>
                <w:rFonts w:ascii="Times New Roman"/>
                <w:b w:val="false"/>
                <w:i w:val="false"/>
                <w:color w:val="000000"/>
                <w:sz w:val="20"/>
              </w:rPr>
              <w:t>
2. Алаң белгіленген тәртіппен лицензияланған (қаралатын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болады немесе ағымдағы хаттамаға сәйкес кемінде үш өнеркәсіптік сериясы бар жаңа алаң валидациясы сәтті жүргізілді.</w:t>
            </w:r>
          </w:p>
          <w:p>
            <w:pPr>
              <w:spacing w:after="20"/>
              <w:ind w:left="20"/>
              <w:jc w:val="both"/>
            </w:pPr>
            <w:r>
              <w:rPr>
                <w:rFonts w:ascii="Times New Roman"/>
                <w:b w:val="false"/>
                <w:i w:val="false"/>
                <w:color w:val="000000"/>
                <w:sz w:val="20"/>
              </w:rPr>
              <w:t>
5. Қаралып отырған препарат биологиялық/ иммунологиялық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Беруші және қабылдаушы тараптың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2. Тиісті жағдайларда серияның нөмірін, серияның тиісті мөлшерін және валидациялық зерттеуде пайдаланылған сериялардың өндіріс күнін (3) көрсету және валидация деректерін немесе беруге жататын валидация хаттамасын (схемасын) ұсыну қажет.</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"қазіргі" және "ұсынылатын" өндірушілерін дәл көрсету қажет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салыстырмалы деректер. Сұрату бойынша мынадай екі толық өнеркәсіптік серия бойынша деректерді ұсыну қажет; егер талдау нәтижелері өзіндік ерекшелікке үйлеспесе хабардар ету және іс-қимыл жоспарын ұсыну қажет.</w:t>
            </w:r>
          </w:p>
          <w:p>
            <w:pPr>
              <w:spacing w:after="20"/>
              <w:ind w:left="20"/>
              <w:jc w:val="both"/>
            </w:pPr>
            <w:r>
              <w:rPr>
                <w:rFonts w:ascii="Times New Roman"/>
                <w:b w:val="false"/>
                <w:i w:val="false"/>
                <w:color w:val="000000"/>
                <w:sz w:val="20"/>
              </w:rPr>
              <w:t>
6. Жұмсақ және сұйық дәрілік нысандардың бөлшектері және олардың морфологиясының онда фармацевтикалық субстанция ерімейтін күйде болатын мөлшерлері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серияларды шығаруға жауапты алаңның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8. Дерекнаманың тиісті бөліміне (деріне) түзету.</w:t>
            </w:r>
          </w:p>
          <w:p>
            <w:pPr>
              <w:spacing w:after="20"/>
              <w:ind w:left="20"/>
              <w:jc w:val="both"/>
            </w:pPr>
            <w:r>
              <w:rPr>
                <w:rFonts w:ascii="Times New Roman"/>
                <w:b w:val="false"/>
                <w:i w:val="false"/>
                <w:color w:val="000000"/>
                <w:sz w:val="20"/>
              </w:rPr>
              <w:t>
9. Егер өндірістік алаң және бастапқы қаптама жүзеге асырылатын алаң әртүрлі болса, өлшеп-оралған препаратты (bulk) тасымалдау және сақтау шарттарын сипаттау және валидациялау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GMP өзара тану туралы келісім жасалмаған Қазақстан Республикасынан тыс елдегі өндірістік алаң өзгерген кезде ұстаушыларға хабарлама берілгенге дейін уәкілетті органмен консультация жүргізе отырып, инспекция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w:t>
            </w:r>
          </w:p>
          <w:p>
            <w:pPr>
              <w:spacing w:after="20"/>
              <w:ind w:left="20"/>
              <w:jc w:val="both"/>
            </w:pPr>
            <w:r>
              <w:rPr>
                <w:rFonts w:ascii="Times New Roman"/>
                <w:b w:val="false"/>
                <w:i w:val="false"/>
                <w:color w:val="000000"/>
                <w:sz w:val="20"/>
              </w:rPr>
              <w:t>
Өндіріске лицензия ұстаушылар бастапқы материалдар ретінде GMP-ге сәйкес өндірілген тек қана белсенді фармацевтикалық субстанцияларды пайдалануға міндетті, сондықтан өндіріске лицензияның әрбір ұстаушысы бастапқы материал ретінде GMP-ге сәйкес өндірілген белсенді фармацевтикалық субстанцияны пайдаланатынын мәлімдеуге міндетті. Сонымен қатар, серияны сертификаттауға жауапты уәкілетті тұлға әр серия үшін жалпы жауапкершілікті өз мойнына алады, егер серияны шығаратын алаң жоғарыда көрсетілгеннен өзгеше болса, серияны сертификаттауға жауапты уәкілетті тұлға қосымша декларация ұсынуы тиіс.</w:t>
            </w:r>
          </w:p>
          <w:p>
            <w:pPr>
              <w:spacing w:after="20"/>
              <w:ind w:left="20"/>
              <w:jc w:val="both"/>
            </w:pPr>
            <w:r>
              <w:rPr>
                <w:rFonts w:ascii="Times New Roman"/>
                <w:b w:val="false"/>
                <w:i w:val="false"/>
                <w:color w:val="000000"/>
                <w:sz w:val="20"/>
              </w:rPr>
              <w:t>
Көп жағдайларда өндіріске бір лицензия ұстаушысы қатысады, сондықтан тек қана бір декларация талап етіледі. Алайда, егер өндіріске бірнеше лицензия иелері қатысса, бірнеше декларация берудің орнына бір уәкілетті тұлға қол қойған бір декларация беруге рұқсат етіледі. Бұған декларацияда оған барлық уәкілетті тұлғалардың атынан қол қойылғаны дәл көрсетілген болса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Дәрілік препарат өндірісі процестерінің бір бөлігі немесе бәрі үшін өндірістік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Қарастырылып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 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w:t>
            </w:r>
          </w:p>
          <w:p>
            <w:pPr>
              <w:spacing w:after="20"/>
              <w:ind w:left="20"/>
              <w:jc w:val="both"/>
            </w:pPr>
            <w:r>
              <w:rPr>
                <w:rFonts w:ascii="Times New Roman"/>
                <w:b w:val="false"/>
                <w:i w:val="false"/>
                <w:color w:val="000000"/>
                <w:sz w:val="20"/>
              </w:rPr>
              <w:t>
Уәкілетті тұлғаның белсенді фармацевтикалық субстанцияны қозғайтын декларациялары.</w:t>
            </w:r>
          </w:p>
          <w:p>
            <w:pPr>
              <w:spacing w:after="20"/>
              <w:ind w:left="20"/>
              <w:jc w:val="both"/>
            </w:pPr>
            <w:r>
              <w:rPr>
                <w:rFonts w:ascii="Times New Roman"/>
                <w:b w:val="false"/>
                <w:i w:val="false"/>
                <w:color w:val="000000"/>
                <w:sz w:val="20"/>
              </w:rPr>
              <w:t xml:space="preserve">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w:t>
            </w:r>
          </w:p>
          <w:p>
            <w:pPr>
              <w:spacing w:after="20"/>
              <w:ind w:left="20"/>
              <w:jc w:val="both"/>
            </w:pPr>
            <w:r>
              <w:rPr>
                <w:rFonts w:ascii="Times New Roman"/>
                <w:b w:val="false"/>
                <w:i w:val="false"/>
                <w:color w:val="000000"/>
                <w:sz w:val="20"/>
              </w:rPr>
              <w:t>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