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4aa6" w14:textId="9874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қазандағы № 774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3) тармақшасына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қазандағы</w:t>
            </w:r>
            <w:r>
              <w:br/>
            </w:r>
            <w:r>
              <w:rPr>
                <w:rFonts w:ascii="Times New Roman"/>
                <w:b w:val="false"/>
                <w:i w:val="false"/>
                <w:color w:val="000000"/>
                <w:sz w:val="20"/>
              </w:rPr>
              <w:t>№ 774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3"/>
    <w:p>
      <w:pPr>
        <w:spacing w:after="0"/>
        <w:ind w:left="0"/>
        <w:jc w:val="both"/>
      </w:pPr>
      <w:r>
        <w:rPr>
          <w:rFonts w:ascii="Times New Roman"/>
          <w:b w:val="false"/>
          <w:i w:val="false"/>
          <w:color w:val="ff0000"/>
          <w:sz w:val="28"/>
        </w:rPr>
        <w:t xml:space="preserve">
      Ескерту. Бірыңғай тізбе жаңа редакцияда - ҚР Үкіметінің 20.03.2023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Өзектілендіру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Дереккөз (ашық деректер интернет-порталының АЖО немесе мемлекеттік органның API жүйелері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мемлекеттік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сектор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туралы деректер</w:t>
            </w:r>
          </w:p>
          <w:p>
            <w:pPr>
              <w:spacing w:after="20"/>
              <w:ind w:left="20"/>
              <w:jc w:val="both"/>
            </w:pPr>
            <w:r>
              <w:rPr>
                <w:rFonts w:ascii="Times New Roman"/>
                <w:b w:val="false"/>
                <w:i w:val="false"/>
                <w:color w:val="000000"/>
                <w:sz w:val="20"/>
              </w:rPr>
              <w:t>
(сыртқы талдау объектісі; сыртқы талдау жүргізу кезеңі; анықталған сыбайлас жемқорлық тәуекелдері; сыбайлас жемқорлық тәуекелдерін жою жөніндегі ұсынымдар; тәуекел объектісі;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сыбайлас жемқорлық құқық бұзушылықтар туралы ақпарат</w:t>
            </w:r>
          </w:p>
          <w:p>
            <w:pPr>
              <w:spacing w:after="20"/>
              <w:ind w:left="20"/>
              <w:jc w:val="both"/>
            </w:pPr>
            <w:r>
              <w:rPr>
                <w:rFonts w:ascii="Times New Roman"/>
                <w:b w:val="false"/>
                <w:i w:val="false"/>
                <w:color w:val="000000"/>
                <w:sz w:val="20"/>
              </w:rPr>
              <w:t>
(есепті кезең; қылмыстық құқық бұзушылықтардың жалпы саны; сыбайлас жемқорлық фактілері бойынша саны; парақорлық фактілері бойынша саны; ұрлау фактілері бойынша саны; лауазымдық өкілеттіктерді теріс пайдалану фактілері бойынша саны; сотқа жіберілген қылмыстық істер саны; өтелген залал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w:t>
            </w:r>
          </w:p>
          <w:p>
            <w:pPr>
              <w:spacing w:after="20"/>
              <w:ind w:left="20"/>
              <w:jc w:val="both"/>
            </w:pPr>
            <w:r>
              <w:rPr>
                <w:rFonts w:ascii="Times New Roman"/>
                <w:b w:val="false"/>
                <w:i w:val="false"/>
                <w:color w:val="000000"/>
                <w:sz w:val="20"/>
              </w:rPr>
              <w:t>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кандидаттардың тіркелген партиялық тізімдері</w:t>
            </w:r>
          </w:p>
          <w:p>
            <w:pPr>
              <w:spacing w:after="20"/>
              <w:ind w:left="20"/>
              <w:jc w:val="both"/>
            </w:pPr>
            <w:r>
              <w:rPr>
                <w:rFonts w:ascii="Times New Roman"/>
                <w:b w:val="false"/>
                <w:i w:val="false"/>
                <w:color w:val="000000"/>
                <w:sz w:val="20"/>
              </w:rPr>
              <w:t>
(есепті кезең; тегі және аты-жөні;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саяси партияның атауы; түсімдер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w:t>
            </w:r>
          </w:p>
          <w:p>
            <w:pPr>
              <w:spacing w:after="20"/>
              <w:ind w:left="20"/>
              <w:jc w:val="both"/>
            </w:pPr>
            <w:r>
              <w:rPr>
                <w:rFonts w:ascii="Times New Roman"/>
                <w:b w:val="false"/>
                <w:i w:val="false"/>
                <w:color w:val="000000"/>
                <w:sz w:val="20"/>
              </w:rPr>
              <w:t>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w:t>
            </w:r>
          </w:p>
          <w:p>
            <w:pPr>
              <w:spacing w:after="20"/>
              <w:ind w:left="20"/>
              <w:jc w:val="both"/>
            </w:pPr>
            <w:r>
              <w:rPr>
                <w:rFonts w:ascii="Times New Roman"/>
                <w:b w:val="false"/>
                <w:i w:val="false"/>
                <w:color w:val="000000"/>
                <w:sz w:val="20"/>
              </w:rPr>
              <w:t>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w:t>
            </w:r>
          </w:p>
          <w:p>
            <w:pPr>
              <w:spacing w:after="20"/>
              <w:ind w:left="20"/>
              <w:jc w:val="both"/>
            </w:pPr>
            <w:r>
              <w:rPr>
                <w:rFonts w:ascii="Times New Roman"/>
                <w:b w:val="false"/>
                <w:i w:val="false"/>
                <w:color w:val="000000"/>
                <w:sz w:val="20"/>
              </w:rPr>
              <w:t>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w:t>
            </w:r>
          </w:p>
          <w:p>
            <w:pPr>
              <w:spacing w:after="20"/>
              <w:ind w:left="20"/>
              <w:jc w:val="both"/>
            </w:pPr>
            <w:r>
              <w:rPr>
                <w:rFonts w:ascii="Times New Roman"/>
                <w:b w:val="false"/>
                <w:i w:val="false"/>
                <w:color w:val="000000"/>
                <w:sz w:val="20"/>
              </w:rPr>
              <w:t>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p>
            <w:pPr>
              <w:spacing w:after="20"/>
              <w:ind w:left="20"/>
              <w:jc w:val="both"/>
            </w:pPr>
            <w:r>
              <w:rPr>
                <w:rFonts w:ascii="Times New Roman"/>
                <w:b w:val="false"/>
                <w:i w:val="false"/>
                <w:color w:val="000000"/>
                <w:sz w:val="20"/>
              </w:rPr>
              <w:t>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w:t>
            </w:r>
          </w:p>
          <w:p>
            <w:pPr>
              <w:spacing w:after="20"/>
              <w:ind w:left="20"/>
              <w:jc w:val="both"/>
            </w:pPr>
            <w:r>
              <w:rPr>
                <w:rFonts w:ascii="Times New Roman"/>
                <w:b w:val="false"/>
                <w:i w:val="false"/>
                <w:color w:val="000000"/>
                <w:sz w:val="20"/>
              </w:rPr>
              <w:t>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w:t>
            </w:r>
          </w:p>
          <w:p>
            <w:pPr>
              <w:spacing w:after="20"/>
              <w:ind w:left="20"/>
              <w:jc w:val="both"/>
            </w:pPr>
            <w:r>
              <w:rPr>
                <w:rFonts w:ascii="Times New Roman"/>
                <w:b w:val="false"/>
                <w:i w:val="false"/>
                <w:color w:val="000000"/>
                <w:sz w:val="20"/>
              </w:rPr>
              <w:t>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w:t>
            </w:r>
          </w:p>
          <w:p>
            <w:pPr>
              <w:spacing w:after="20"/>
              <w:ind w:left="20"/>
              <w:jc w:val="both"/>
            </w:pPr>
            <w:r>
              <w:rPr>
                <w:rFonts w:ascii="Times New Roman"/>
                <w:b w:val="false"/>
                <w:i w:val="false"/>
                <w:color w:val="000000"/>
                <w:sz w:val="20"/>
              </w:rPr>
              <w:t>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кепілдіктер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субъектілеріне берілген гранттар саны</w:t>
            </w:r>
          </w:p>
          <w:p>
            <w:pPr>
              <w:spacing w:after="20"/>
              <w:ind w:left="20"/>
              <w:jc w:val="both"/>
            </w:pPr>
            <w:r>
              <w:rPr>
                <w:rFonts w:ascii="Times New Roman"/>
                <w:b w:val="false"/>
                <w:i w:val="false"/>
                <w:color w:val="000000"/>
                <w:sz w:val="20"/>
              </w:rPr>
              <w:t>
(есепті кезең;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субсидиялар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жұмыс істеп тұрған бизнесті жүргізуді сервистік қолдау бойынша берілген консультациялардың саны</w:t>
            </w:r>
          </w:p>
          <w:p>
            <w:pPr>
              <w:spacing w:after="20"/>
              <w:ind w:left="20"/>
              <w:jc w:val="both"/>
            </w:pPr>
            <w:r>
              <w:rPr>
                <w:rFonts w:ascii="Times New Roman"/>
                <w:b w:val="false"/>
                <w:i w:val="false"/>
                <w:color w:val="000000"/>
                <w:sz w:val="20"/>
              </w:rPr>
              <w:t>
(есепті кезең;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w:t>
            </w:r>
          </w:p>
          <w:p>
            <w:pPr>
              <w:spacing w:after="20"/>
              <w:ind w:left="20"/>
              <w:jc w:val="both"/>
            </w:pPr>
            <w:r>
              <w:rPr>
                <w:rFonts w:ascii="Times New Roman"/>
                <w:b w:val="false"/>
                <w:i w:val="false"/>
                <w:color w:val="000000"/>
                <w:sz w:val="20"/>
              </w:rPr>
              <w:t>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қазбаның атауы; өлшем бірлігі; болжамды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w:t>
            </w:r>
          </w:p>
          <w:p>
            <w:pPr>
              <w:spacing w:after="20"/>
              <w:ind w:left="20"/>
              <w:jc w:val="both"/>
            </w:pPr>
            <w:r>
              <w:rPr>
                <w:rFonts w:ascii="Times New Roman"/>
                <w:b w:val="false"/>
                <w:i w:val="false"/>
                <w:color w:val="000000"/>
                <w:sz w:val="20"/>
              </w:rPr>
              <w:t>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(1) тармақша бойынша),</w:t>
            </w:r>
          </w:p>
          <w:p>
            <w:pPr>
              <w:spacing w:after="20"/>
              <w:ind w:left="20"/>
              <w:jc w:val="both"/>
            </w:pPr>
            <w:r>
              <w:rPr>
                <w:rFonts w:ascii="Times New Roman"/>
                <w:b w:val="false"/>
                <w:i w:val="false"/>
                <w:color w:val="000000"/>
                <w:sz w:val="20"/>
              </w:rPr>
              <w:t>
ИИДМ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w:t>
            </w:r>
          </w:p>
          <w:p>
            <w:pPr>
              <w:spacing w:after="20"/>
              <w:ind w:left="20"/>
              <w:jc w:val="both"/>
            </w:pPr>
            <w:r>
              <w:rPr>
                <w:rFonts w:ascii="Times New Roman"/>
                <w:b w:val="false"/>
                <w:i w:val="false"/>
                <w:color w:val="000000"/>
                <w:sz w:val="20"/>
              </w:rPr>
              <w:t>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және ғылым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бос лауазымдары туралы статистикалық деректер</w:t>
            </w:r>
          </w:p>
          <w:p>
            <w:pPr>
              <w:spacing w:after="20"/>
              <w:ind w:left="20"/>
              <w:jc w:val="both"/>
            </w:pPr>
            <w:r>
              <w:rPr>
                <w:rFonts w:ascii="Times New Roman"/>
                <w:b w:val="false"/>
                <w:i w:val="false"/>
                <w:color w:val="000000"/>
                <w:sz w:val="20"/>
              </w:rPr>
              <w:t>
(есепті кезең; өңірдің атауы; барлық мұғалімдер; пәндер бойынша мұғалімдерге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 оқушылардың саны</w:t>
            </w:r>
          </w:p>
          <w:p>
            <w:pPr>
              <w:spacing w:after="20"/>
              <w:ind w:left="20"/>
              <w:jc w:val="both"/>
            </w:pPr>
            <w:r>
              <w:rPr>
                <w:rFonts w:ascii="Times New Roman"/>
                <w:b w:val="false"/>
                <w:i w:val="false"/>
                <w:color w:val="000000"/>
                <w:sz w:val="20"/>
              </w:rPr>
              <w:t>
(есепті кезең; өңірдің атауы; экстернаттық оқыту нысанындағы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оқытатын мектептердің саны</w:t>
            </w:r>
          </w:p>
          <w:p>
            <w:pPr>
              <w:spacing w:after="20"/>
              <w:ind w:left="20"/>
              <w:jc w:val="both"/>
            </w:pPr>
            <w:r>
              <w:rPr>
                <w:rFonts w:ascii="Times New Roman"/>
                <w:b w:val="false"/>
                <w:i w:val="false"/>
                <w:color w:val="000000"/>
                <w:sz w:val="20"/>
              </w:rPr>
              <w:t>
(есепті кезең; өңірдің атауы; экстернаттық оқыту нысаны бар мектептердің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зертханаларының тізілімі</w:t>
            </w:r>
          </w:p>
          <w:p>
            <w:pPr>
              <w:spacing w:after="20"/>
              <w:ind w:left="20"/>
              <w:jc w:val="both"/>
            </w:pPr>
            <w:r>
              <w:rPr>
                <w:rFonts w:ascii="Times New Roman"/>
                <w:b w:val="false"/>
                <w:i w:val="false"/>
                <w:color w:val="000000"/>
                <w:sz w:val="20"/>
              </w:rPr>
              <w:t>
(есепті кезең; өңірдің</w:t>
            </w:r>
          </w:p>
          <w:p>
            <w:pPr>
              <w:spacing w:after="20"/>
              <w:ind w:left="20"/>
              <w:jc w:val="both"/>
            </w:pPr>
            <w:r>
              <w:rPr>
                <w:rFonts w:ascii="Times New Roman"/>
                <w:b w:val="false"/>
                <w:i w:val="false"/>
                <w:color w:val="000000"/>
                <w:sz w:val="20"/>
              </w:rPr>
              <w:t>
атауы; зертхана атауы; Аккредиттеу күні; аккредиттеу мерзімі; аккредиттеу аттестатының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лицензияның қолданылу мерзімі; лицензияның қолданылу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Өндірісінде йодталмаған тұз пайдаланылатын тамақ өнімдерінің жекелеген түрлерінің тізбесі</w:t>
            </w:r>
          </w:p>
          <w:p>
            <w:pPr>
              <w:spacing w:after="20"/>
              <w:ind w:left="20"/>
              <w:jc w:val="both"/>
            </w:pPr>
            <w:r>
              <w:rPr>
                <w:rFonts w:ascii="Times New Roman"/>
                <w:b w:val="false"/>
                <w:i w:val="false"/>
                <w:color w:val="000000"/>
                <w:sz w:val="20"/>
              </w:rPr>
              <w:t>
(есепті кезең; тамақ өнімдерінің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жұмыспен қамту және 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14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14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адам (аудандар бойынша)</w:t>
            </w:r>
          </w:p>
          <w:p>
            <w:pPr>
              <w:spacing w:after="20"/>
              <w:ind w:left="20"/>
              <w:jc w:val="both"/>
            </w:pPr>
            <w:r>
              <w:rPr>
                <w:rFonts w:ascii="Times New Roman"/>
                <w:b w:val="false"/>
                <w:i w:val="false"/>
                <w:color w:val="000000"/>
                <w:sz w:val="20"/>
              </w:rPr>
              <w:t>
(отчетный период; наименование региона (района/города); количество самостоятельно занятых работников,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жұмыссыздығының деңгейі</w:t>
            </w:r>
          </w:p>
          <w:p>
            <w:pPr>
              <w:spacing w:after="20"/>
              <w:ind w:left="20"/>
              <w:jc w:val="both"/>
            </w:pPr>
            <w:r>
              <w:rPr>
                <w:rFonts w:ascii="Times New Roman"/>
                <w:b w:val="false"/>
                <w:i w:val="false"/>
                <w:color w:val="000000"/>
                <w:sz w:val="20"/>
              </w:rPr>
              <w:t>
(есепті кезең; өңірдің атауы; 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жұмыссыздығының деңгейі (15-28 жас)</w:t>
            </w:r>
          </w:p>
          <w:p>
            <w:pPr>
              <w:spacing w:after="20"/>
              <w:ind w:left="20"/>
              <w:jc w:val="both"/>
            </w:pPr>
            <w:r>
              <w:rPr>
                <w:rFonts w:ascii="Times New Roman"/>
                <w:b w:val="false"/>
                <w:i w:val="false"/>
                <w:color w:val="000000"/>
                <w:sz w:val="20"/>
              </w:rPr>
              <w:t>
(есепті кезең; өңірдің атауы; жастардың жұмыссыздық деңгейі 15 жастан 28 жасқа дейін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қамтығандардың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w:t>
            </w:r>
          </w:p>
          <w:p>
            <w:pPr>
              <w:spacing w:after="20"/>
              <w:ind w:left="20"/>
              <w:jc w:val="both"/>
            </w:pPr>
            <w:r>
              <w:rPr>
                <w:rFonts w:ascii="Times New Roman"/>
                <w:b w:val="false"/>
                <w:i w:val="false"/>
                <w:color w:val="000000"/>
                <w:sz w:val="20"/>
              </w:rPr>
              <w:t>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w:t>
            </w:r>
          </w:p>
          <w:p>
            <w:pPr>
              <w:spacing w:after="20"/>
              <w:ind w:left="20"/>
              <w:jc w:val="both"/>
            </w:pPr>
            <w:r>
              <w:rPr>
                <w:rFonts w:ascii="Times New Roman"/>
                <w:b w:val="false"/>
                <w:i w:val="false"/>
                <w:color w:val="000000"/>
                <w:sz w:val="20"/>
              </w:rPr>
              <w:t>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үйге мұқтаж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 қорынан тұрғын үй алған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орман, аңшылық және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w:t>
            </w:r>
          </w:p>
          <w:p>
            <w:pPr>
              <w:spacing w:after="20"/>
              <w:ind w:left="20"/>
              <w:jc w:val="both"/>
            </w:pPr>
            <w:r>
              <w:rPr>
                <w:rFonts w:ascii="Times New Roman"/>
                <w:b w:val="false"/>
                <w:i w:val="false"/>
                <w:color w:val="000000"/>
                <w:sz w:val="20"/>
              </w:rPr>
              <w:t>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шаруашылықтарында тауарлық балық өсірумен айналысатын, сумен қамтамасыз етудің тұйық циклі бар кәсіпорындар, көл-тауарлық және бау-бақша балық өсіру шаруашылықтары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 балық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кәсіпшілік және кәсіпшілік емес балық аулау құралдарының түрлері мен тәсілдерінің тізбесі</w:t>
            </w:r>
          </w:p>
          <w:p>
            <w:pPr>
              <w:spacing w:after="20"/>
              <w:ind w:left="20"/>
              <w:jc w:val="both"/>
            </w:pPr>
            <w:r>
              <w:rPr>
                <w:rFonts w:ascii="Times New Roman"/>
                <w:b w:val="false"/>
                <w:i w:val="false"/>
                <w:color w:val="000000"/>
                <w:sz w:val="20"/>
              </w:rPr>
              <w:t>
(есепті кезең; балық аулау құралының атауы; балық аулау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өсірумен айналысатын кәсіпорындар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орман ағаштарының түрі;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колонкаларының болуы</w:t>
            </w:r>
          </w:p>
          <w:p>
            <w:pPr>
              <w:spacing w:after="20"/>
              <w:ind w:left="20"/>
              <w:jc w:val="both"/>
            </w:pPr>
            <w:r>
              <w:rPr>
                <w:rFonts w:ascii="Times New Roman"/>
                <w:b w:val="false"/>
                <w:i w:val="false"/>
                <w:color w:val="000000"/>
                <w:sz w:val="20"/>
              </w:rPr>
              <w:t>
(есепті кезең; өңірдің атауы; жанармай құю бағандарының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кәсіпорындар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 қылмыстық қызметтің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нормаларын бұза отырып қайта ұйымдастырылған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 бұйрықтың күні; бұзушылық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қорытындыларына және оларды қарау нәтижелеріне шағымдар</w:t>
            </w:r>
          </w:p>
          <w:p>
            <w:pPr>
              <w:spacing w:after="20"/>
              <w:ind w:left="20"/>
              <w:jc w:val="both"/>
            </w:pPr>
            <w:r>
              <w:rPr>
                <w:rFonts w:ascii="Times New Roman"/>
                <w:b w:val="false"/>
                <w:i w:val="false"/>
                <w:color w:val="000000"/>
                <w:sz w:val="20"/>
              </w:rPr>
              <w:t>
(есепті кезең; шағымның нөмірі; шағымның берілген күні; хабарландырудың нөмірі; сатып алу тәсілі; өнім берушінің атауы; іс-әрекеттеріне шағым жасалып отырған ұйымның атауы; шағымның мәртебесі; мемлекеттік аудиттің уәкілетті органы; шағым толтырылды)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тізілімі</w:t>
            </w:r>
          </w:p>
          <w:p>
            <w:pPr>
              <w:spacing w:after="20"/>
              <w:ind w:left="20"/>
              <w:jc w:val="both"/>
            </w:pPr>
            <w:r>
              <w:rPr>
                <w:rFonts w:ascii="Times New Roman"/>
                <w:b w:val="false"/>
                <w:i w:val="false"/>
                <w:color w:val="000000"/>
                <w:sz w:val="20"/>
              </w:rPr>
              <w:t>
(ұйымның атауы; БСН; лицензияның нөмірі мен берілген күні; ұйым басшысының тегі мен аты-жөні;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тізілімі</w:t>
            </w:r>
          </w:p>
          <w:p>
            <w:pPr>
              <w:spacing w:after="20"/>
              <w:ind w:left="20"/>
              <w:jc w:val="both"/>
            </w:pPr>
            <w:r>
              <w:rPr>
                <w:rFonts w:ascii="Times New Roman"/>
                <w:b w:val="false"/>
                <w:i w:val="false"/>
                <w:color w:val="000000"/>
                <w:sz w:val="20"/>
              </w:rPr>
              <w:t>
(аудитордың тегі мен аты-жөні; "аудитор" біліктілік куәлігін берген біліктілік комиссиясының атауы; куәліктің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кәсіби аудиторлық ұйымдардың тізілімі</w:t>
            </w:r>
          </w:p>
          <w:p>
            <w:pPr>
              <w:spacing w:after="20"/>
              <w:ind w:left="20"/>
              <w:jc w:val="both"/>
            </w:pPr>
            <w:r>
              <w:rPr>
                <w:rFonts w:ascii="Times New Roman"/>
                <w:b w:val="false"/>
                <w:i w:val="false"/>
                <w:color w:val="000000"/>
                <w:sz w:val="20"/>
              </w:rPr>
              <w:t>
(ұйымның атауы;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тізімі</w:t>
            </w:r>
          </w:p>
          <w:p>
            <w:pPr>
              <w:spacing w:after="20"/>
              <w:ind w:left="20"/>
              <w:jc w:val="both"/>
            </w:pPr>
            <w:r>
              <w:rPr>
                <w:rFonts w:ascii="Times New Roman"/>
                <w:b w:val="false"/>
                <w:i w:val="false"/>
                <w:color w:val="000000"/>
                <w:sz w:val="20"/>
              </w:rPr>
              <w:t>
(ұйымның атауы; аккредиттеу нөмірі мен күні; БСН;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ұйымдардың тізімі</w:t>
            </w:r>
          </w:p>
          <w:p>
            <w:pPr>
              <w:spacing w:after="20"/>
              <w:ind w:left="20"/>
              <w:jc w:val="both"/>
            </w:pPr>
            <w:r>
              <w:rPr>
                <w:rFonts w:ascii="Times New Roman"/>
                <w:b w:val="false"/>
                <w:i w:val="false"/>
                <w:color w:val="000000"/>
                <w:sz w:val="20"/>
              </w:rPr>
              <w:t>
(ұйымның атауы; БСН;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активтері</w:t>
            </w:r>
          </w:p>
          <w:p>
            <w:pPr>
              <w:spacing w:after="20"/>
              <w:ind w:left="20"/>
              <w:jc w:val="both"/>
            </w:pPr>
            <w:r>
              <w:rPr>
                <w:rFonts w:ascii="Times New Roman"/>
                <w:b w:val="false"/>
                <w:i w:val="false"/>
                <w:color w:val="000000"/>
                <w:sz w:val="20"/>
              </w:rPr>
              <w:t>
(есепті кезең; жалпы халықаралық резервтердің көлемі; еркін айырбасталатын валютадағы активтердің көлемі; алтын көлемі; таза халықаралық резервтердің көлемі; Қазақстан Республикасы Ұлттық қоры активтерінің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өңірдің атауы; ағымдағы шоттардағы қалдықтардың жалпы сомасы; банктік емес заңды тұлғалардың ұлттық валютадағы ағымдағы шоттарындағы сома; банктік емес заңды тұлғалардың шетел валютасындағы ағымдағы шоттарындағы сома; жеке тұлғалардың ұлттық валютадағы ағымдағы шоттарындағы сома; жеке тұлғалардың шетел валютасындағы ағымдағы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өңірдің атауы; ағымдағы шоттардағы тартылған салымдардың жалпы сомасы; банктік емес заңды тұлғалардың ұлттық валютадағы ағымдағы шоттарындағы сома; банктік емес заңды тұлғалардың шетел валютасындағы ағымдағы шоттарындағы сома; жеке тұлғалардың ұлттық валютадағы ағымдағы шоттарындағы сома; жеке тұлғалардың шетел валютасындағы ағымдағы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өңірдің атауы; салымдардың жалпы сомасы; банктік емес заңды тұлғалардың салымдарының сомасы; банктік емес заңды тұлғалардың ұлттық валютадағы талап етілгенге дейінгі салымдарының сомасы; банктік емес заңды тұлғалардың шетел валютасындағы талап етілгенге дейінгі салымдарының сомасы; банктік емес заңды тұлғалардың ұлттық валютадағы мерзімді салымдарының сомасы; банктік емес заңды тұлғалардың шетел валютасындағы мерзімді салымдарының сомасы; банктік емес заңды тұлғалардың шетел валютасындағы жеке тұлғалардың салымдарының сомасы; жеке тұлғалардың ұлттық валютадағы талап етілгенге дейінгі салымдарының сомасы; жеке тұлғалардың шетел валютасындағы талап етілгенге дейінгі салымдарының сомасы; жеке тұлғалардың ұлттық валютадағы мерзімді салымдарының сомасы; жеке тұлғалардың шетел валютасындағы мерзімді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өңірдің атауы; салымдардың жалпы сомасы; банктік емес заңды тұлғалардың салымдарының сомасы; банктік емес заңды тұлғалардың ұлттық валютадағы талап етілгенге дейінгі салымдарының сомасы; банктік емес заңды тұлғалардың шетел валютасындағы талап етілгенге дейінгі салымдарының сомасы; банктік емес заңды тұлғалардың ұлттық валютадағы мерзімді салымдарының сомасы; банктік емес заңды тұлғалардың шетел валютасындағы мерзімді салымдарының сомасы; банктік емес заңды тұлғалардың шетел валютасындағы жеке тұлғалардың салымдарының сомасы; жеке тұлғалардың ұлттық валютадағы талап етілгенге дейінгі салымдарының сомасы; жеке тұлғалардың шетел валютасындағы талап етілгенге дейінгі салымдарының сомасы; жеке тұлғалардың ұлттық валютадағы мерзімді салымдарының сомасы; жеке тұлғалардың шетел валютасындағы мерзімді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(қалдықтар)</w:t>
            </w:r>
          </w:p>
          <w:p>
            <w:pPr>
              <w:spacing w:after="20"/>
              <w:ind w:left="20"/>
              <w:jc w:val="both"/>
            </w:pPr>
            <w:r>
              <w:rPr>
                <w:rFonts w:ascii="Times New Roman"/>
                <w:b w:val="false"/>
                <w:i w:val="false"/>
                <w:color w:val="000000"/>
                <w:sz w:val="20"/>
              </w:rPr>
              <w:t>
(есепті кезең; қалдықтардың жалпы сомасы; талап етілгенге дейінгі салымдар және ұлттық валютадағы ағымдағы шоттар; талап етілгенге дейінгі салымдар және шетел валютасындағы ағымдағы шоттар; ұлттық валютадағы шартты салымдардың сомасы; шетел валютасындағы шартты салымдардың сомасы; ұлттық валютадағы мерзімді салымдардың сомасы; шетел валютасындағы мерзімді салымдардың сомасы; шетел валютасындағы жинақ салымдарының сомасы ұлттық валютадағы жинақ салымдарының сомасы; шетел валютасындағы жинақ салымдарының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ставка түрі; сыйақы ставкасыт)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кезең соңындағы кредиттердің жалпы сомасы; ұлттық валютадағы бизнеске кредиттердің сомасы; шетел валютасындағы бизнеске кредиттердің сомасы; шағын кәсіпкерлік субъектілеріне кредиттердің сомасы; орта кәсіпкерлік субъектілеріне кредиттердің сомасы; ірі кәсіпкерлік субъектілеріне кредиттердің сомасы; ұлттық валютадағы халыққа кредиттердің сомасы; шетел валютасындағы халыққа кредиттердің сомасы; халыққа берілетін кредиттердің сомасы ипотекалық кредиттеуге; тұтынушылық мақсаттарға арналған халыққа берілетін кредиттер сомасы; басқа мақсаттарға арналған халыққа берілетін кредиттер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шағын кәсіпкерлік субъектілеріне ұлттық валютадағы кредиттер сомасы; шағын кәсіпкерлік субъектілеріне шетел валютасындағы кредиттер сомасы; орта кәсіпкерлік субъектілеріне ұлттық валютадағы кредиттер сомасы; орта кәсіпкерлік субъектілеріне шетел валютасындағы кредиттер сомасы; ірі кәсіпкерлік субъектілеріне ұлттық валютадағы кредиттер сомасы; ірі кәсіпкерлік субъектілеріне ұлттық валютадағы кредиттер сомасы; шетел валютасындағы кәсіпкерлік)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ауыл шаруашылығына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ұлттық валютадағы заңды тұлғаларға кредиттердің сомасы; шетел валютасындағы заңды тұлғаларға кредиттердің сомасы; ұлттық валютадағы шаруа (фермер) қожалықтарына кредиттердің сомасы; шетел валютасындағы шаруа (фермер) қожалықтарына кредиттердің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ауыл шаруашылығы өнімдерін қайта өңдейтін өнеркәсіптің банк секторы берген кредиттер</w:t>
            </w:r>
          </w:p>
          <w:p>
            <w:pPr>
              <w:spacing w:after="20"/>
              <w:ind w:left="20"/>
              <w:jc w:val="both"/>
            </w:pPr>
            <w:r>
              <w:rPr>
                <w:rFonts w:ascii="Times New Roman"/>
                <w:b w:val="false"/>
                <w:i w:val="false"/>
                <w:color w:val="000000"/>
                <w:sz w:val="20"/>
              </w:rPr>
              <w:t>
(есепті кезең; өңірдің атауы; кредиттердің жалпы сомасы; ұлттық валютадағы кредиттер сомасы; шетел валютасындағы кредиттер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өңірдің атауы; АҚШ долларын сатып алу/сату неттосы; еуроны сатып алу/сату неттосы; ресей рублін сатып алу/сату неттосы; ағылшын фунт стерлингін сатып алу/сату неттосы; Қытай юанін сатып алу/сату неттосы)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операция атауы; мәміле көлемі, сатып алу; мәміле көлемі, сату; мәміленің орташа өлшенген бағамы, сатып алу;мәміленің орташа өлшенген бағамы,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ұлттық валютада берілген кредиттер сомасы; ұлттық валютада берілген кредиттер бойынша орташа өлшенген мөлшерлеме пайызбен; берілген кредиттер сомасы АҚШ долларымен; берілген кредиттер бойынша орташа өлшенген мөлшерлеме пайызбен АҚШ долларымен; берілген кредиттер сомасы еуромен; берілген кредиттер бойынша орташа өлшенген мөлшерлеме пайызбен еуромен; орналастырылған депозиттер сомасы пайызбен ұлттық валютада орналастырылған депозиттер бойынша пайызбен орташа өлшенген мөлшерлеме; орналастырылған депозиттер сомасы АҚШ долларымен; орналастырылған депозиттер бойынша орташа өлшенген мөлшерлеме АҚШ долларымен пайызбен; орналастырылған депозиттер сомасы еуромен; орналастырылған депозиттер бойынша орташа өлшенген мөлшерлеме Еуро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(есепті кезең;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шоттар тобының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шоттар тобының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3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лицензия берілген, қайта ресімделген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лицензия берілген, оның қолданысы тоқтатыла тұрған не тоқтатылған (одан айырылған)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қайтаруға байланысты лицензияның қолданылуы тоқтатылған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Құрылыс және тұрғын үй-коммуналдық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w:t>
            </w:r>
          </w:p>
          <w:p>
            <w:pPr>
              <w:spacing w:after="20"/>
              <w:ind w:left="20"/>
              <w:jc w:val="both"/>
            </w:pPr>
            <w:r>
              <w:rPr>
                <w:rFonts w:ascii="Times New Roman"/>
                <w:b w:val="false"/>
                <w:i w:val="false"/>
                <w:color w:val="000000"/>
                <w:sz w:val="20"/>
              </w:rPr>
              <w:t>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w:t>
            </w:r>
          </w:p>
          <w:p>
            <w:pPr>
              <w:spacing w:after="20"/>
              <w:ind w:left="20"/>
              <w:jc w:val="both"/>
            </w:pPr>
            <w:r>
              <w:rPr>
                <w:rFonts w:ascii="Times New Roman"/>
                <w:b w:val="false"/>
                <w:i w:val="false"/>
                <w:color w:val="000000"/>
                <w:sz w:val="20"/>
              </w:rPr>
              <w:t>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w:t>
            </w:r>
          </w:p>
          <w:p>
            <w:pPr>
              <w:spacing w:after="20"/>
              <w:ind w:left="20"/>
              <w:jc w:val="both"/>
            </w:pPr>
            <w:r>
              <w:rPr>
                <w:rFonts w:ascii="Times New Roman"/>
                <w:b w:val="false"/>
                <w:i w:val="false"/>
                <w:color w:val="000000"/>
                <w:sz w:val="20"/>
              </w:rPr>
              <w:t>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w:t>
            </w:r>
          </w:p>
          <w:p>
            <w:pPr>
              <w:spacing w:after="20"/>
              <w:ind w:left="20"/>
              <w:jc w:val="both"/>
            </w:pPr>
            <w:r>
              <w:rPr>
                <w:rFonts w:ascii="Times New Roman"/>
                <w:b w:val="false"/>
                <w:i w:val="false"/>
                <w:color w:val="000000"/>
                <w:sz w:val="20"/>
              </w:rPr>
              <w:t>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w:t>
            </w:r>
          </w:p>
          <w:p>
            <w:pPr>
              <w:spacing w:after="20"/>
              <w:ind w:left="20"/>
              <w:jc w:val="both"/>
            </w:pPr>
            <w:r>
              <w:rPr>
                <w:rFonts w:ascii="Times New Roman"/>
                <w:b w:val="false"/>
                <w:i w:val="false"/>
                <w:color w:val="000000"/>
                <w:sz w:val="20"/>
              </w:rPr>
              <w:t>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w:t>
            </w:r>
          </w:p>
          <w:p>
            <w:pPr>
              <w:spacing w:after="20"/>
              <w:ind w:left="20"/>
              <w:jc w:val="both"/>
            </w:pPr>
            <w:r>
              <w:rPr>
                <w:rFonts w:ascii="Times New Roman"/>
                <w:b w:val="false"/>
                <w:i w:val="false"/>
                <w:color w:val="000000"/>
                <w:sz w:val="20"/>
              </w:rPr>
              <w:t>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w:t>
            </w:r>
          </w:p>
          <w:p>
            <w:pPr>
              <w:spacing w:after="20"/>
              <w:ind w:left="20"/>
              <w:jc w:val="both"/>
            </w:pPr>
            <w:r>
              <w:rPr>
                <w:rFonts w:ascii="Times New Roman"/>
                <w:b w:val="false"/>
                <w:i w:val="false"/>
                <w:color w:val="000000"/>
                <w:sz w:val="20"/>
              </w:rPr>
              <w:t>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w:t>
            </w:r>
          </w:p>
          <w:p>
            <w:pPr>
              <w:spacing w:after="20"/>
              <w:ind w:left="20"/>
              <w:jc w:val="both"/>
            </w:pPr>
            <w:r>
              <w:rPr>
                <w:rFonts w:ascii="Times New Roman"/>
                <w:b w:val="false"/>
                <w:i w:val="false"/>
                <w:color w:val="000000"/>
                <w:sz w:val="20"/>
              </w:rPr>
              <w:t>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w:t>
            </w:r>
          </w:p>
          <w:p>
            <w:pPr>
              <w:spacing w:after="20"/>
              <w:ind w:left="20"/>
              <w:jc w:val="both"/>
            </w:pPr>
            <w:r>
              <w:rPr>
                <w:rFonts w:ascii="Times New Roman"/>
                <w:b w:val="false"/>
                <w:i w:val="false"/>
                <w:color w:val="000000"/>
                <w:sz w:val="20"/>
              </w:rPr>
              <w:t>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w:t>
            </w:r>
          </w:p>
          <w:p>
            <w:pPr>
              <w:spacing w:after="20"/>
              <w:ind w:left="20"/>
              <w:jc w:val="both"/>
            </w:pPr>
            <w:r>
              <w:rPr>
                <w:rFonts w:ascii="Times New Roman"/>
                <w:b w:val="false"/>
                <w:i w:val="false"/>
                <w:color w:val="000000"/>
                <w:sz w:val="20"/>
              </w:rPr>
              <w:t>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16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w:t>
            </w:r>
          </w:p>
          <w:p>
            <w:pPr>
              <w:spacing w:after="20"/>
              <w:ind w:left="20"/>
              <w:jc w:val="both"/>
            </w:pPr>
            <w:r>
              <w:rPr>
                <w:rFonts w:ascii="Times New Roman"/>
                <w:b w:val="false"/>
                <w:i w:val="false"/>
                <w:color w:val="000000"/>
                <w:sz w:val="20"/>
              </w:rPr>
              <w:t>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w:t>
            </w:r>
          </w:p>
          <w:p>
            <w:pPr>
              <w:spacing w:after="20"/>
              <w:ind w:left="20"/>
              <w:jc w:val="both"/>
            </w:pPr>
            <w:r>
              <w:rPr>
                <w:rFonts w:ascii="Times New Roman"/>
                <w:b w:val="false"/>
                <w:i w:val="false"/>
                <w:color w:val="000000"/>
                <w:sz w:val="20"/>
              </w:rPr>
              <w:t>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w:t>
            </w:r>
          </w:p>
          <w:p>
            <w:pPr>
              <w:spacing w:after="20"/>
              <w:ind w:left="20"/>
              <w:jc w:val="both"/>
            </w:pPr>
            <w:r>
              <w:rPr>
                <w:rFonts w:ascii="Times New Roman"/>
                <w:b w:val="false"/>
                <w:i w:val="false"/>
                <w:color w:val="000000"/>
                <w:sz w:val="20"/>
              </w:rPr>
              <w:t>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w:t>
            </w:r>
          </w:p>
          <w:p>
            <w:pPr>
              <w:spacing w:after="20"/>
              <w:ind w:left="20"/>
              <w:jc w:val="both"/>
            </w:pPr>
            <w:r>
              <w:rPr>
                <w:rFonts w:ascii="Times New Roman"/>
                <w:b w:val="false"/>
                <w:i w:val="false"/>
                <w:color w:val="000000"/>
                <w:sz w:val="20"/>
              </w:rPr>
              <w:t>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w:t>
            </w:r>
          </w:p>
          <w:p>
            <w:pPr>
              <w:spacing w:after="20"/>
              <w:ind w:left="20"/>
              <w:jc w:val="both"/>
            </w:pPr>
            <w:r>
              <w:rPr>
                <w:rFonts w:ascii="Times New Roman"/>
                <w:b w:val="false"/>
                <w:i w:val="false"/>
                <w:color w:val="000000"/>
                <w:sz w:val="20"/>
              </w:rPr>
              <w:t>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әлеуметтік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Экология, қоршаған орта және азаматтық қорғаныс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нормаларымен белгіленген кәсіпорындар бойынша атмосфераға ластаушы заттардың рұқсат етілген шығарындысы</w:t>
            </w:r>
          </w:p>
          <w:p>
            <w:pPr>
              <w:spacing w:after="20"/>
              <w:ind w:left="20"/>
              <w:jc w:val="both"/>
            </w:pPr>
            <w:r>
              <w:rPr>
                <w:rFonts w:ascii="Times New Roman"/>
                <w:b w:val="false"/>
                <w:i w:val="false"/>
                <w:color w:val="000000"/>
                <w:sz w:val="20"/>
              </w:rPr>
              <w:t>
(есепті кезең; өңірдің атауы; шекті жол берілетін шығарындылардың белгіленген нормалары бар кәсіпорындар бойынша атмосфераға ластаушы заттардың шығарылуының рұқсат етілген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Су ресурстары комитеті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және қоғам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p>
            <w:pPr>
              <w:spacing w:after="20"/>
              <w:ind w:left="20"/>
              <w:jc w:val="both"/>
            </w:pPr>
            <w:r>
              <w:rPr>
                <w:rFonts w:ascii="Times New Roman"/>
                <w:b w:val="false"/>
                <w:i w:val="false"/>
                <w:color w:val="000000"/>
                <w:sz w:val="20"/>
              </w:rPr>
              <w:t>
(есепті кезең; басшының аты-жөні жазылған тегі; лауазымы; кездесу күні; сала желісі бойынша ҮЕҰ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 жартыжылдыққа),</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(II жартыжылдыққа)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Заңының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тізбесі, өңірлер бөлінісінде</w:t>
            </w:r>
          </w:p>
          <w:p>
            <w:pPr>
              <w:spacing w:after="20"/>
              <w:ind w:left="20"/>
              <w:jc w:val="both"/>
            </w:pPr>
            <w:r>
              <w:rPr>
                <w:rFonts w:ascii="Times New Roman"/>
                <w:b w:val="false"/>
                <w:i w:val="false"/>
                <w:color w:val="000000"/>
                <w:sz w:val="20"/>
              </w:rPr>
              <w:t>
(есепті кезең; БАҚ атауы; Басшының тегі мен аты-жөні; тілі; кезеңділігі; өңір атауы; заңды мекенжайы; байланыс телефоны; ресми интернет-ресурсы (бар болса);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Инновациялар және 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w:t>
            </w:r>
          </w:p>
          <w:p>
            <w:pPr>
              <w:spacing w:after="20"/>
              <w:ind w:left="20"/>
              <w:jc w:val="both"/>
            </w:pPr>
            <w:r>
              <w:rPr>
                <w:rFonts w:ascii="Times New Roman"/>
                <w:b w:val="false"/>
                <w:i w:val="false"/>
                <w:color w:val="000000"/>
                <w:sz w:val="20"/>
              </w:rPr>
              <w:t>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w:t>
            </w:r>
          </w:p>
          <w:p>
            <w:pPr>
              <w:spacing w:after="20"/>
              <w:ind w:left="20"/>
              <w:jc w:val="both"/>
            </w:pPr>
            <w:r>
              <w:rPr>
                <w:rFonts w:ascii="Times New Roman"/>
                <w:b w:val="false"/>
                <w:i w:val="false"/>
                <w:color w:val="000000"/>
                <w:sz w:val="20"/>
              </w:rPr>
              <w:t>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w:t>
            </w:r>
          </w:p>
          <w:p>
            <w:pPr>
              <w:spacing w:after="20"/>
              <w:ind w:left="20"/>
              <w:jc w:val="both"/>
            </w:pPr>
            <w:r>
              <w:rPr>
                <w:rFonts w:ascii="Times New Roman"/>
                <w:b w:val="false"/>
                <w:i w:val="false"/>
                <w:color w:val="000000"/>
                <w:sz w:val="20"/>
              </w:rPr>
              <w:t>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w:t>
            </w:r>
          </w:p>
          <w:p>
            <w:pPr>
              <w:spacing w:after="20"/>
              <w:ind w:left="20"/>
              <w:jc w:val="both"/>
            </w:pPr>
            <w:r>
              <w:rPr>
                <w:rFonts w:ascii="Times New Roman"/>
                <w:b w:val="false"/>
                <w:i w:val="false"/>
                <w:color w:val="000000"/>
                <w:sz w:val="20"/>
              </w:rPr>
              <w:t>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w:t>
            </w:r>
          </w:p>
          <w:p>
            <w:pPr>
              <w:spacing w:after="20"/>
              <w:ind w:left="20"/>
              <w:jc w:val="both"/>
            </w:pPr>
            <w:r>
              <w:rPr>
                <w:rFonts w:ascii="Times New Roman"/>
                <w:b w:val="false"/>
                <w:i w:val="false"/>
                <w:color w:val="000000"/>
                <w:sz w:val="20"/>
              </w:rPr>
              <w:t>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w:t>
            </w:r>
          </w:p>
          <w:p>
            <w:pPr>
              <w:spacing w:after="20"/>
              <w:ind w:left="20"/>
              <w:jc w:val="both"/>
            </w:pPr>
            <w:r>
              <w:rPr>
                <w:rFonts w:ascii="Times New Roman"/>
                <w:b w:val="false"/>
                <w:i w:val="false"/>
                <w:color w:val="000000"/>
                <w:sz w:val="20"/>
              </w:rPr>
              <w:t>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w:t>
            </w:r>
          </w:p>
          <w:p>
            <w:pPr>
              <w:spacing w:after="20"/>
              <w:ind w:left="20"/>
              <w:jc w:val="both"/>
            </w:pPr>
            <w:r>
              <w:rPr>
                <w:rFonts w:ascii="Times New Roman"/>
                <w:b w:val="false"/>
                <w:i w:val="false"/>
                <w:color w:val="000000"/>
                <w:sz w:val="20"/>
              </w:rPr>
              <w:t>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w:t>
            </w:r>
          </w:p>
          <w:p>
            <w:pPr>
              <w:spacing w:after="20"/>
              <w:ind w:left="20"/>
              <w:jc w:val="both"/>
            </w:pPr>
            <w:r>
              <w:rPr>
                <w:rFonts w:ascii="Times New Roman"/>
                <w:b w:val="false"/>
                <w:i w:val="false"/>
                <w:color w:val="000000"/>
                <w:sz w:val="20"/>
              </w:rPr>
              <w:t>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w:t>
            </w:r>
          </w:p>
          <w:p>
            <w:pPr>
              <w:spacing w:after="20"/>
              <w:ind w:left="20"/>
              <w:jc w:val="both"/>
            </w:pPr>
            <w:r>
              <w:rPr>
                <w:rFonts w:ascii="Times New Roman"/>
                <w:b w:val="false"/>
                <w:i w:val="false"/>
                <w:color w:val="000000"/>
                <w:sz w:val="20"/>
              </w:rPr>
              <w:t>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w:t>
            </w:r>
          </w:p>
          <w:p>
            <w:pPr>
              <w:spacing w:after="20"/>
              <w:ind w:left="20"/>
              <w:jc w:val="both"/>
            </w:pPr>
            <w:r>
              <w:rPr>
                <w:rFonts w:ascii="Times New Roman"/>
                <w:b w:val="false"/>
                <w:i w:val="false"/>
                <w:color w:val="000000"/>
                <w:sz w:val="20"/>
              </w:rPr>
              <w:t>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w:t>
            </w:r>
          </w:p>
          <w:p>
            <w:pPr>
              <w:spacing w:after="20"/>
              <w:ind w:left="20"/>
              <w:jc w:val="both"/>
            </w:pPr>
            <w:r>
              <w:rPr>
                <w:rFonts w:ascii="Times New Roman"/>
                <w:b w:val="false"/>
                <w:i w:val="false"/>
                <w:color w:val="000000"/>
                <w:sz w:val="20"/>
              </w:rPr>
              <w:t>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w:t>
            </w:r>
          </w:p>
          <w:p>
            <w:pPr>
              <w:spacing w:after="20"/>
              <w:ind w:left="20"/>
              <w:jc w:val="both"/>
            </w:pPr>
            <w:r>
              <w:rPr>
                <w:rFonts w:ascii="Times New Roman"/>
                <w:b w:val="false"/>
                <w:i w:val="false"/>
                <w:color w:val="000000"/>
                <w:sz w:val="20"/>
              </w:rPr>
              <w:t>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w:t>
            </w:r>
          </w:p>
          <w:p>
            <w:pPr>
              <w:spacing w:after="20"/>
              <w:ind w:left="20"/>
              <w:jc w:val="both"/>
            </w:pPr>
            <w:r>
              <w:rPr>
                <w:rFonts w:ascii="Times New Roman"/>
                <w:b w:val="false"/>
                <w:i w:val="false"/>
                <w:color w:val="000000"/>
                <w:sz w:val="20"/>
              </w:rPr>
              <w:t>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w:t>
            </w:r>
          </w:p>
          <w:p>
            <w:pPr>
              <w:spacing w:after="20"/>
              <w:ind w:left="20"/>
              <w:jc w:val="both"/>
            </w:pPr>
            <w:r>
              <w:rPr>
                <w:rFonts w:ascii="Times New Roman"/>
                <w:b w:val="false"/>
                <w:i w:val="false"/>
                <w:color w:val="000000"/>
                <w:sz w:val="20"/>
              </w:rPr>
              <w:t>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w:t>
            </w:r>
          </w:p>
          <w:p>
            <w:pPr>
              <w:spacing w:after="20"/>
              <w:ind w:left="20"/>
              <w:jc w:val="both"/>
            </w:pPr>
            <w:r>
              <w:rPr>
                <w:rFonts w:ascii="Times New Roman"/>
                <w:b w:val="false"/>
                <w:i w:val="false"/>
                <w:color w:val="000000"/>
                <w:sz w:val="20"/>
              </w:rPr>
              <w:t>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w:t>
            </w:r>
          </w:p>
          <w:p>
            <w:pPr>
              <w:spacing w:after="20"/>
              <w:ind w:left="20"/>
              <w:jc w:val="both"/>
            </w:pPr>
            <w:r>
              <w:rPr>
                <w:rFonts w:ascii="Times New Roman"/>
                <w:b w:val="false"/>
                <w:i w:val="false"/>
                <w:color w:val="000000"/>
                <w:sz w:val="20"/>
              </w:rPr>
              <w:t>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жүйе және қоғамдық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қорытындысы бойынша ақпарат</w:t>
            </w:r>
          </w:p>
          <w:p>
            <w:pPr>
              <w:spacing w:after="20"/>
              <w:ind w:left="20"/>
              <w:jc w:val="both"/>
            </w:pPr>
            <w:r>
              <w:rPr>
                <w:rFonts w:ascii="Times New Roman"/>
                <w:b w:val="false"/>
                <w:i w:val="false"/>
                <w:color w:val="000000"/>
                <w:sz w:val="20"/>
              </w:rPr>
              <w:t>
(есепті кезең; көрсеткіштің атауы;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тұрғындардың жалпы саны; өрттен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жасырынып жүрген, сондай-ақ жазасын өтеуден немесе пробациялық бақылауды жүзеге асырудан жалтарып жүрген, хабар-ошарсыз жоғалған, туған-туыстарымен байланысын жоғалтқан тұлғаларды, атқарушылық іс жүргізу бойынша борышкерлерді, мемлекет мүддесі үшін тағылған талап қоюлар бойынша жауапкерлерді іздеу туралы, алиментті өндіріп алу, мертігуі немесе денсаулығының өзгедей зақымдануы, асыраушысының қайтыс болуы арқылы келтірілген зиянды өтеу туралы, сондай-ақ мәйіттердің және өздері туралы белгіленген деректерді хабарлай алмайтын адамдардың жеке басын анықтау бойынша жұмыстардың нәтижесі туралы" № 1-І есебінің статистикалық нысаны</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халықаралық шарттарды, ведомствоаралық шарттарды және халықаралық ынтымақтастық бағдарламаларын іске асыруға қатысуы туралы мәліметтер</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bl>
    <w:bookmarkStart w:name="z5"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елорданың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w:t>
      </w:r>
    </w:p>
    <w:p>
      <w:pPr>
        <w:spacing w:after="0"/>
        <w:ind w:left="0"/>
        <w:jc w:val="both"/>
      </w:pPr>
      <w:r>
        <w:rPr>
          <w:rFonts w:ascii="Times New Roman"/>
          <w:b w:val="false"/>
          <w:i w:val="false"/>
          <w:color w:val="000000"/>
          <w:sz w:val="28"/>
        </w:rPr>
        <w:t>
      ЖС – Қазақстан Республикасының Жоғарғы Соты, жергілікті және басқа соттар;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СЖҚА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