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c358" w14:textId="e8ec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объектіге үшінші тұлғалардың құқықтарымен ауыртпалық салу туралы</w:t>
      </w:r>
    </w:p>
    <w:p>
      <w:pPr>
        <w:spacing w:after="0"/>
        <w:ind w:left="0"/>
        <w:jc w:val="both"/>
      </w:pPr>
      <w:r>
        <w:rPr>
          <w:rFonts w:ascii="Times New Roman"/>
          <w:b w:val="false"/>
          <w:i w:val="false"/>
          <w:color w:val="000000"/>
          <w:sz w:val="28"/>
        </w:rPr>
        <w:t>Қазақстан Республикасы Үкіметінің 2021 жылғы 1 қыркүйектегі № 594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xml:space="preserve"> және "Мемлекеттік мүлік туралы" 2011 жылғы 1 наурыздағы Қазақстан Республикасы Заңының 188-бабы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"АстанаГаз ҚМГ" акционерлік қоғамына "Интергаз Орталық Азия" акционерлік қоғамымен 2021 жылға арналған жалдау шартына қосымша келісім жасасу жолымен "Сарыарқа" магистральдық газ құбырына үшінші тұлғалардың құқықтарымен ауыртпалық салу жөнінде мәміле жасасуға рұқсат берілсін.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