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e605" w14:textId="33ce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саласындағы бірінші кезектегі 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2021 жылғы 11 маусымдағы № 405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Адам құқықтары саласындағы бірінші кезектегі </w:t>
      </w:r>
      <w:r>
        <w:rPr>
          <w:rFonts w:ascii="Times New Roman"/>
          <w:b w:val="false"/>
          <w:i w:val="false"/>
          <w:color w:val="000000"/>
          <w:sz w:val="28"/>
        </w:rPr>
        <w:t>шаралар 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xml:space="preserve">
      2. Орталық мемлекеттік органдар және облыстардың, республикалық маңызы бар қалалар мен астананың жергілікті атқарушы органдары, Қазақстан Республикасының Президентіне тікелей бағынатын және есеп беретін мемлекеттік органдар (келісу бойынша), сондай-ақ Жоспардың орындалуы үшін жауапты басқа да ұйымдар: </w:t>
      </w:r>
    </w:p>
    <w:bookmarkEnd w:id="2"/>
    <w:bookmarkStart w:name="z4" w:id="3"/>
    <w:p>
      <w:pPr>
        <w:spacing w:after="0"/>
        <w:ind w:left="0"/>
        <w:jc w:val="both"/>
      </w:pPr>
      <w:r>
        <w:rPr>
          <w:rFonts w:ascii="Times New Roman"/>
          <w:b w:val="false"/>
          <w:i w:val="false"/>
          <w:color w:val="000000"/>
          <w:sz w:val="28"/>
        </w:rPr>
        <w:t>
      1) Жоспарды іске асыру бойынша қажетті шараларды қабылдасын;</w:t>
      </w:r>
    </w:p>
    <w:bookmarkEnd w:id="3"/>
    <w:bookmarkStart w:name="z5" w:id="4"/>
    <w:p>
      <w:pPr>
        <w:spacing w:after="0"/>
        <w:ind w:left="0"/>
        <w:jc w:val="both"/>
      </w:pPr>
      <w:r>
        <w:rPr>
          <w:rFonts w:ascii="Times New Roman"/>
          <w:b w:val="false"/>
          <w:i w:val="false"/>
          <w:color w:val="000000"/>
          <w:sz w:val="28"/>
        </w:rPr>
        <w:t>
      2) жартыжылдық негізде 1 шілдеге және 20 желтоқсанға дейін Қазақстан Республикасының Әділет министрлігіне Жоспардың іске асырылу барысы туралы ақпарат берсін;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Әділет министрлігі жартыжылдық негізде 15 шілдеге және 5 қаңтарға дейін Қазақстан Республикасы Үкіметінің Аппаратына Жоспардың іске асырылу барысы туралы жиынтық ақпарат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Үкіметінің Аппараты жыл сайын 25 қаңтардан кешіктірмей Қазақстан Республикасы Президентінің Әкімшілігіне Жоспардың іске асырылу қорытындылары туралы жиынтық ақпарат 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11 маусымдағы</w:t>
            </w:r>
            <w:r>
              <w:br/>
            </w:r>
            <w:r>
              <w:rPr>
                <w:rFonts w:ascii="Times New Roman"/>
                <w:b w:val="false"/>
                <w:i w:val="false"/>
                <w:color w:val="000000"/>
                <w:sz w:val="20"/>
              </w:rPr>
              <w:t>№ 405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Адам құқықтары саласындағы бірінші кезектегі шаралар жоспары</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шарттық органдары және БҰҰ Адам құқықтары жөніндегі кеңесінің арнайы рәсімдерімен өзара іс-қимыл тетіктерін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w:t>
            </w:r>
          </w:p>
          <w:p>
            <w:pPr>
              <w:spacing w:after="20"/>
              <w:ind w:left="20"/>
              <w:jc w:val="both"/>
            </w:pPr>
            <w:r>
              <w:rPr>
                <w:rFonts w:ascii="Times New Roman"/>
                <w:b w:val="false"/>
                <w:i w:val="false"/>
                <w:color w:val="000000"/>
                <w:sz w:val="20"/>
              </w:rPr>
              <w:t xml:space="preserve">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0"/>
              </w:rPr>
              <w:t>Жарлығына</w:t>
            </w:r>
            <w:r>
              <w:rPr>
                <w:rFonts w:ascii="Times New Roman"/>
                <w:b w:val="false"/>
                <w:i w:val="false"/>
                <w:color w:val="000000"/>
                <w:sz w:val="20"/>
              </w:rPr>
              <w:t xml:space="preserve"> БҰҰ Адам құқықтары жөніндегі кеңесінің арнайы рәсімдерімен, сондай-ақ БҰҰ-ның шарттық органдарымен өзара іс-қимыл бөлігінде толықтырулар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АҚДМ, БП (келісу бойынша), ЖС (келісу бойынша), ҰҚК (келісу бойынша), CҚА, Еңбекмині, ІІМ, Әділетмині, БҒМ, Қаржымині,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АҚЖКБ әзірлеген 14 индикатор негізінде адам құқықтарының сақталуын бағалаудың ұлттық индикаторларын кезең-кезеңімен енгізуді қамтамасыз ету мақсатында адам құқықтары жөніндегі индикаторлардың тұрақты даму мақсаттары индикаторларымен сәйкестігін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Әділетмині, ҰЭМ, Қаржымині, БП (келісу бойынша), ІІМ, СҚА (келісу бойынша), СІМ, БҒМ, ДСМ, АҚҰО (келісу бойынша), Еңбекмині, АҚДМ, ИИДМ, ТЖМ, ЖС (келісу бойынша), ЭМ, ЭГТРМ, АШМ, ОСК (келісу бойынша), МҚІА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 саудасы құрбандарының құқықтарын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БҰҰ-ның 2000 жылғы 15 қарашадағы трансұлттық ұйымдасқан қылмысқа қарсы конвенциясын толықтыратын адам, әсіресе, әйелдер мен балалар саудасының алдын алу және жолын кесу, сол үшін жазалау туралы хаттаманы ескере отырып, оның ішінде "адам саудасы" ұғымының анықтамасын нақтылау, осындай қылмыс түрлерінен зардап шеккен адамдардың Қазақстан Республикасының аумағында болуын заңдастыру және оларға әлеуметтік қызметтер көрсету бөлігінде  өзгерістер мен толықтырулар енгізу ("Қазақстан Республикасының кейбір заңнамалық актілеріне мүгедектерді әлеуметтік қорғау мәселелері бойынша өзгерістер мен толықтырулар енгізу туралы" Заң жобасы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БП (келісу бойынша), ІІМ, Әділетмині,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 және басқа да қатыгез, адамгершілікке жатпайтын немесе қадір-қасиетті қорлайтын қатым-қатынас пен жазалаудың түрлерін тиімді тергеп-тексеру және құжаттау жөніндегі БҰҰ АҚЖКБ нұсқаулығын (Ыстамбұл хаттамасы) ескере отырып, әлеуметтік дезадаптацияға және әлеуметтік депривацияға алып келетін қатыгез қарым-қатынастың болуын бағалау өлшемшарттарын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Әділетмині, БП (келісу бойынша), Еңбекмині, ДСМ, БҒМ,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Азаптау және басқа да қатыгез, адамгершілікке жатпайтын немесе қадір-қасиетті қорлайтын қатым-қатынас пен жазалаудың түрлерін тиімді тергеп-тексеру және құжаттау жөніндегі БҰҰ АҚЖКБ нұсқаулығын (Ыстамбұл хаттамасы)  ескере отырып, жеке клиникалық хаттаманы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жылдың </w:t>
            </w:r>
          </w:p>
          <w:p>
            <w:pPr>
              <w:spacing w:after="20"/>
              <w:ind w:left="20"/>
              <w:jc w:val="both"/>
            </w:pPr>
            <w:r>
              <w:rPr>
                <w:rFonts w:ascii="Times New Roman"/>
                <w:b w:val="false"/>
                <w:i w:val="false"/>
                <w:color w:val="000000"/>
                <w:sz w:val="20"/>
              </w:rPr>
              <w:t>
1-жартыжылдығы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Бас прокуратурасының Академиясы жанындағы Экстремизмге, есірткі мен қару-жарақтың заңсыз айналымына, адам саудасына, киберқылмысқа және сыбайлас жемқорлыққа қарсы іс-қимыл жөніндегі өңірлік хабтың жұмысын күшейту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іс-шараларын, 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саудаға салғаны үшін жауапкершілік анықтайтын заңнаманы қолдану тәжірибесі туралы" Қазақстан Республикасы Жоғарғы Сотының 2012 жылғы 29 желтоқсандағы № 7 нормативтік қаулысын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p>
            <w:pPr>
              <w:spacing w:after="20"/>
              <w:ind w:left="20"/>
              <w:jc w:val="both"/>
            </w:pPr>
            <w:r>
              <w:rPr>
                <w:rFonts w:ascii="Times New Roman"/>
                <w:b w:val="false"/>
                <w:i w:val="false"/>
                <w:color w:val="000000"/>
                <w:sz w:val="20"/>
              </w:rPr>
              <w:t>
(келісу бойынша), АҚҰО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Мүгедектігі бар азаматтарға қатысты адам құқықтары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Мүгедектердің құқықтары туралы конвенцияға Факультативтік хаттаманы ратификациялау рәсімін аяқтау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Әділетмині,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мүгедектігі бар адамдарды және халықтың қимыл-қозғалысы шектелген топтарын құрылыс саласындағы жобаларды келісуге және оларды қабылдауға тарту бөлігінде өзгерістер енгізу ("Қазақстан Республикасының кейбір заңнамалық актілеріне мүгедектерді әлеуметтік қорғау мәселелері бойынша өзгерістер мен толықтырулар енгізу туралы" Заң жобасының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АҚҰО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Әйелдерге қатысты кемсітушілікті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еңбегін пайдалануға тыйым салынған жұмыстардың тізімін алып тастау ("Қазақстан Республикасының кейбір заңнамалық актілеріне азаматтардың кейбір санаттарын әлеуметтік қорғау мәселелері бойынша өзгерістер мен толықтырулар енгізу туралы" Заң жобасының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Әділетмині, ДСМ,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Жанжалдардың алдын алуға және оларды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және әйелдерді қорғау мәселелерінде азаматтық қоғаммен өзара іс-қимылды күшейтуге әйелдердің тең құқылы және жан-жақты қатысуы бойынша БҰҰ Қауіпсіздік кеңесі қабылдаған 1325 (2000), 1820, 1888, 1889, 1960, 2106, 2122, 2242, 2467 қарарларын іске асыру жөнінде шаралар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БП (келісу бойынша), Еңбекмині, БҒМ, СЖРА, ӘІОСҰК, астананың, республикалық маңызы бар қалалардың және облыстардың әкімдіктері, АҚҰО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Бірігу еркіндігі құқығы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бірігу еркіндігі құқығын іске асыру тетіктерін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тұжырымдамасы мен жобасын ВАК-қа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АҚҰО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есептiлiгi мәселелері бойынша қоғамдық бірлестіктер мен мемлекеттік органдардың өзара іс-қимыл жасау, сондай-ақ діни бірлестіктерді тіркеу тәртібін жеңілдету және конфессияаралық өзара іс-қимылға қолайлы жағдайлар жасау бөлігінде Қазақстан Республикасының заңнамасына өзгерістер енгізу ("Қазақстан Республикасының кейбір заңнамалық актілеріне мемлекеттік билік деңгейлері арасындағы өкілеттіктерді қайта бөлу мәселелері бойынша өзгерістер мен толықтырулар енгізу туралы" Заң жобасы шеңберінде)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АҚДМ, Әділетмині, Қаржымині, АҚҰО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Пікір білдіру еркіндігі құқығы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 мен халықаралық тәжірибені зерделеп, жұртшылықпен және ғылыми топтармен кеңінен талқылай отырып, Қазақстан Республикасы Қылмыстық кодексінің 131-бабын қылмыстық сипаттан арылту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жанындағы ВАЖТ қарауына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Әділетмині, АҚҰО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Адамның өмір сүруге және қоғамдық тәртіпке құқығы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органдары жұмысының сервистік моделінің жекелеген элементтерін енгізу ("Қазақстан Республикасының кейбір заңнамалық актілеріне мемлекеттік фельдъегерлік байланыс және ішкі істер органдары қызметінің мәселелері бойынша өзгерістер мен толықтырулар енгізу туралы" Заң жобасы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жақын маңда" қағидасын енгізуді ескере отырып, учаскелік пункттер мен модульдік бекеттердің құрылысын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пункттерін салу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 аралығында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Үкіметтік емес ұйымдармен өзара іс-қимыл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бастамаларға қолдауды кеңейту тұрғысынан коммерциялық емес ұйымдардың қызметін гранттық қаржыландыру тетіктерін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p>
            <w:pPr>
              <w:spacing w:after="20"/>
              <w:ind w:left="20"/>
              <w:jc w:val="both"/>
            </w:pPr>
            <w:r>
              <w:rPr>
                <w:rFonts w:ascii="Times New Roman"/>
                <w:b w:val="false"/>
                <w:i w:val="false"/>
                <w:color w:val="000000"/>
                <w:sz w:val="20"/>
              </w:rPr>
              <w:t>
 Үкіметтің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Қаржымині, ҰЭМ, АҚҰО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Қылмыстық сот төрелігі, орындау және азаптау мен қатыгез әрекеттердің алдын алу саласындағы адам құқықтары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Қылмыстық іс жүргізу және Қылмыстық-атқару кодекстеріне мынадай:</w:t>
            </w:r>
          </w:p>
          <w:p>
            <w:pPr>
              <w:spacing w:after="20"/>
              <w:ind w:left="20"/>
              <w:jc w:val="both"/>
            </w:pPr>
            <w:r>
              <w:rPr>
                <w:rFonts w:ascii="Times New Roman"/>
                <w:b w:val="false"/>
                <w:i w:val="false"/>
                <w:color w:val="000000"/>
                <w:sz w:val="20"/>
              </w:rPr>
              <w:t>
- сотталған ауыр сырқаттанған жағдайда жазаны өтеуді кейінге қалдыруға мүмкіндік беру;</w:t>
            </w:r>
          </w:p>
          <w:p>
            <w:pPr>
              <w:spacing w:after="20"/>
              <w:ind w:left="20"/>
              <w:jc w:val="both"/>
            </w:pPr>
            <w:r>
              <w:rPr>
                <w:rFonts w:ascii="Times New Roman"/>
                <w:b w:val="false"/>
                <w:i w:val="false"/>
                <w:color w:val="000000"/>
                <w:sz w:val="20"/>
              </w:rPr>
              <w:t>
- ауыр сырқатқа байланысты босату немесе жазаның жеңіл түріне ауыстыру туралы сот қаулысын тез арада орындау;</w:t>
            </w:r>
          </w:p>
          <w:p>
            <w:pPr>
              <w:spacing w:after="20"/>
              <w:ind w:left="20"/>
              <w:jc w:val="both"/>
            </w:pPr>
            <w:r>
              <w:rPr>
                <w:rFonts w:ascii="Times New Roman"/>
                <w:b w:val="false"/>
                <w:i w:val="false"/>
                <w:color w:val="000000"/>
                <w:sz w:val="20"/>
              </w:rPr>
              <w:t>
- бала үш жасқа толғаннан кейін анасы мерзімінің соңында босатылған немесе шартты түрде мерзімінен бұрын босатылған, жазасының өтелмеген бөлігі жазаның неғұрлым жеңіл түрімен ауыстырылған жағдайда, оның бір жыл бойы анасымен болу мерзімін ұзарту;</w:t>
            </w:r>
          </w:p>
          <w:p>
            <w:pPr>
              <w:spacing w:after="20"/>
              <w:ind w:left="20"/>
              <w:jc w:val="both"/>
            </w:pPr>
            <w:r>
              <w:rPr>
                <w:rFonts w:ascii="Times New Roman"/>
                <w:b w:val="false"/>
                <w:i w:val="false"/>
                <w:color w:val="000000"/>
                <w:sz w:val="20"/>
              </w:rPr>
              <w:t>
- жауап алудың, сондай-ақ сот отырысының бейнежазбасын қамтамасыз ету;</w:t>
            </w:r>
          </w:p>
          <w:p>
            <w:pPr>
              <w:spacing w:after="20"/>
              <w:ind w:left="20"/>
              <w:jc w:val="both"/>
            </w:pPr>
            <w:r>
              <w:rPr>
                <w:rFonts w:ascii="Times New Roman"/>
                <w:b w:val="false"/>
                <w:i w:val="false"/>
                <w:color w:val="000000"/>
                <w:sz w:val="20"/>
              </w:rPr>
              <w:t>
- "азаптау" анықтамасын нақтылау, сонымен қатар "қатыгездік" анықтамасын енгізу (балалар және мүгедектігі бар тұлғалардың әлеуметтік мекемелері);</w:t>
            </w:r>
          </w:p>
          <w:p>
            <w:pPr>
              <w:spacing w:after="20"/>
              <w:ind w:left="20"/>
              <w:jc w:val="both"/>
            </w:pPr>
            <w:r>
              <w:rPr>
                <w:rFonts w:ascii="Times New Roman"/>
                <w:b w:val="false"/>
                <w:i w:val="false"/>
                <w:color w:val="000000"/>
                <w:sz w:val="20"/>
              </w:rPr>
              <w:t>
- төтенше қауіпсіздік мекемелерін тарату арқылы бұрын сотталған адамдарды бірінші рет сотталғандардан бөлек ұстауды қамтамасыз ету бөлігіне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ЖС (келісу бойынша), БҒМ, ДСМ,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және тергеудегі, қамаудағы адамдарды медициналық қамтамасыз ету функциясын Қазақстан Республикасы Ішкі істер министрлігі жүйесінен Қазақстан Республикасы Денсаулық сақтау министрлігінің қарамағына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Қаржымині, ҰЭМ, БП (келісу бойынша),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 жоғары тұрған және қадағалаушы органдарға бейнедеректерін беру, сонымен қатар одан әрі сотталғандардың қауіпсіздігін қамтамасыз ету және құқық бұзушылықтарды азайту мақсатында Ұлттық бейнежазба жүйесіне қосылу  үшін байланыс арналарымен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атқару жүйесінің мекемелеріне қорғалатын байланыс арналарына кіруге рұқсат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2023 жылдар аралығында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ІІМ, Қаржымині, ҰЭМ, ҰҚҚ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туралы заң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Қаржымині, ҰЭМ,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Заңнамаға және Қазақстан Республикасы Үкіметінің 2016 жылғы № 79 </w:t>
            </w:r>
            <w:r>
              <w:rPr>
                <w:rFonts w:ascii="Times New Roman"/>
                <w:b w:val="false"/>
                <w:i w:val="false"/>
                <w:color w:val="000000"/>
                <w:sz w:val="20"/>
              </w:rPr>
              <w:t>қаулысына</w:t>
            </w:r>
            <w:r>
              <w:rPr>
                <w:rFonts w:ascii="Times New Roman"/>
                <w:b w:val="false"/>
                <w:i w:val="false"/>
                <w:color w:val="000000"/>
                <w:sz w:val="20"/>
              </w:rPr>
              <w:t xml:space="preserve"> сотталғандарды жұмыспен қамту және олардың әлеуметтік бейімделу жағдайларын кеңейтуді көздейтін өзгерістер енгізу ("Қазақстан Республикасының кейбір заңнамалық актілеріне мемлекеттік сатып алу мәселелері бойынша өзгерістер мен толықтырулар енгізу туралы" Заң жобасы шеңберінде)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p>
            <w:pPr>
              <w:spacing w:after="20"/>
              <w:ind w:left="20"/>
              <w:jc w:val="both"/>
            </w:pPr>
            <w:r>
              <w:rPr>
                <w:rFonts w:ascii="Times New Roman"/>
                <w:b w:val="false"/>
                <w:i w:val="false"/>
                <w:color w:val="000000"/>
                <w:sz w:val="20"/>
              </w:rPr>
              <w:t>
Үкіметтің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Әділетмині, ҰЭМ, БП (келісу бойынша), СҚА (келісу бойынша), БҚДА (келісу бойынша), БҒМ, АҚДМ, Еңбекмині, АШМ, ИИДМ, "Атамекен" ҰКП (келісу бойынша),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жаза тағайындаудың кейбір мәселелері туралы" Қазақстан Республикасы Жоғарғы Сотының 2015 жылғы 25 маусымдағы № 4 </w:t>
            </w:r>
            <w:r>
              <w:rPr>
                <w:rFonts w:ascii="Times New Roman"/>
                <w:b w:val="false"/>
                <w:i w:val="false"/>
                <w:color w:val="000000"/>
                <w:sz w:val="20"/>
              </w:rPr>
              <w:t>нормативтік қаулысын</w:t>
            </w:r>
            <w:r>
              <w:rPr>
                <w:rFonts w:ascii="Times New Roman"/>
                <w:b w:val="false"/>
                <w:i w:val="false"/>
                <w:color w:val="000000"/>
                <w:sz w:val="20"/>
              </w:rPr>
              <w:t xml:space="preserve"> белгілі бір қызметпен айналысу құқығынан айыру түрінде қосымша жаза тағайындау бөлігінде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БП (келісу бойынша), АҚДМ, Әділетмині,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қоры туралы" Заңды, Азаптауға қарсы конвенцияға Факультативтік хаттаманы және Стамбул хаттамасын ескере отырып, "Жеке бас бостандығы мен адамның қадір-қасиетіне қол сұғылмаушылықты сақтау, азаптауға қарсы іс-қимыл, зорлық-зомбылық және басқа қатыгез немесе қорлайтын қатынас туралы қылмыстық және қылмыстық іс жүргізу заңнамасының нормаларын қолдану туралы" Қазақстан Республикасы Жоғарғы Сотының 2009 жылғы 28 желтоқсандағы № 7 нормативтік қаулысын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БП (келісу бойынша), АҚДМ, Әділетмині, АҚҰО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құзыретін таныған БҰҰ шарттық органдарының сұрау салуларын қарау және шешімдерін орындау тетігін, оның ішінде осы тетіктердің құқықтық реттеу мәселелерін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ЖС (келісу бойынша), СІМ, ІІМ, АҚДМ, БҒМ,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дерекқорын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жөніндегі уәкілетті органның бюджеттік инвестициялық жоба бойынша экономикалық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ҰЭМ, ЦДИАӨМ, АҚҰО (келісу бойынша)</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xml:space="preserve">
АҚҰО </w:t>
            </w:r>
          </w:p>
          <w:p>
            <w:pPr>
              <w:spacing w:after="20"/>
              <w:ind w:left="20"/>
              <w:jc w:val="both"/>
            </w:pPr>
            <w:r>
              <w:rPr>
                <w:rFonts w:ascii="Times New Roman"/>
                <w:b w:val="false"/>
                <w:i w:val="false"/>
                <w:color w:val="000000"/>
                <w:sz w:val="20"/>
              </w:rPr>
              <w:t xml:space="preserve">
АШМ           </w:t>
            </w:r>
          </w:p>
          <w:p>
            <w:pPr>
              <w:spacing w:after="20"/>
              <w:ind w:left="20"/>
              <w:jc w:val="both"/>
            </w:pPr>
            <w:r>
              <w:rPr>
                <w:rFonts w:ascii="Times New Roman"/>
                <w:b w:val="false"/>
                <w:i w:val="false"/>
                <w:color w:val="000000"/>
                <w:sz w:val="20"/>
              </w:rPr>
              <w:t xml:space="preserve">
Әділетмині     </w:t>
            </w:r>
          </w:p>
          <w:p>
            <w:pPr>
              <w:spacing w:after="20"/>
              <w:ind w:left="20"/>
              <w:jc w:val="both"/>
            </w:pPr>
            <w:r>
              <w:rPr>
                <w:rFonts w:ascii="Times New Roman"/>
                <w:b w:val="false"/>
                <w:i w:val="false"/>
                <w:color w:val="000000"/>
                <w:sz w:val="20"/>
              </w:rPr>
              <w:t>
ӘІОСҰК</w:t>
            </w:r>
          </w:p>
          <w:p>
            <w:pPr>
              <w:spacing w:after="20"/>
              <w:ind w:left="20"/>
              <w:jc w:val="both"/>
            </w:pPr>
          </w:p>
          <w:p>
            <w:pPr>
              <w:spacing w:after="20"/>
              <w:ind w:left="20"/>
              <w:jc w:val="both"/>
            </w:pPr>
            <w:r>
              <w:rPr>
                <w:rFonts w:ascii="Times New Roman"/>
                <w:b w:val="false"/>
                <w:i w:val="false"/>
                <w:color w:val="000000"/>
                <w:sz w:val="20"/>
              </w:rPr>
              <w:t xml:space="preserve">
БҚДА             </w:t>
            </w:r>
          </w:p>
          <w:p>
            <w:pPr>
              <w:spacing w:after="20"/>
              <w:ind w:left="20"/>
              <w:jc w:val="both"/>
            </w:pPr>
            <w:r>
              <w:rPr>
                <w:rFonts w:ascii="Times New Roman"/>
                <w:b w:val="false"/>
                <w:i w:val="false"/>
                <w:color w:val="000000"/>
                <w:sz w:val="20"/>
              </w:rPr>
              <w:t xml:space="preserve">
БП                    </w:t>
            </w:r>
          </w:p>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xml:space="preserve">
БҰҰ                </w:t>
            </w:r>
          </w:p>
          <w:p>
            <w:pPr>
              <w:spacing w:after="20"/>
              <w:ind w:left="20"/>
              <w:jc w:val="both"/>
            </w:pPr>
            <w:r>
              <w:rPr>
                <w:rFonts w:ascii="Times New Roman"/>
                <w:b w:val="false"/>
                <w:i w:val="false"/>
                <w:color w:val="000000"/>
                <w:sz w:val="20"/>
              </w:rPr>
              <w:t xml:space="preserve">
БҰҰ АҚЖКБ </w:t>
            </w:r>
          </w:p>
          <w:p>
            <w:pPr>
              <w:spacing w:after="20"/>
              <w:ind w:left="20"/>
              <w:jc w:val="both"/>
            </w:pPr>
            <w:r>
              <w:rPr>
                <w:rFonts w:ascii="Times New Roman"/>
                <w:b w:val="false"/>
                <w:i w:val="false"/>
                <w:color w:val="000000"/>
                <w:sz w:val="20"/>
              </w:rPr>
              <w:t xml:space="preserve">
ВАК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ЖС                   </w:t>
            </w:r>
          </w:p>
          <w:p>
            <w:pPr>
              <w:spacing w:after="20"/>
              <w:ind w:left="20"/>
              <w:jc w:val="both"/>
            </w:pPr>
            <w:r>
              <w:rPr>
                <w:rFonts w:ascii="Times New Roman"/>
                <w:b w:val="false"/>
                <w:i w:val="false"/>
                <w:color w:val="000000"/>
                <w:sz w:val="20"/>
              </w:rPr>
              <w:t xml:space="preserve">
ІІМ                   </w:t>
            </w:r>
          </w:p>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МҚІА               </w:t>
            </w:r>
          </w:p>
          <w:p>
            <w:pPr>
              <w:spacing w:after="20"/>
              <w:ind w:left="20"/>
              <w:jc w:val="both"/>
            </w:pPr>
            <w:r>
              <w:rPr>
                <w:rFonts w:ascii="Times New Roman"/>
                <w:b w:val="false"/>
                <w:i w:val="false"/>
                <w:color w:val="000000"/>
                <w:sz w:val="20"/>
              </w:rPr>
              <w:t xml:space="preserve">
МСМ               </w:t>
            </w:r>
          </w:p>
          <w:p>
            <w:pPr>
              <w:spacing w:after="20"/>
              <w:ind w:left="20"/>
              <w:jc w:val="both"/>
            </w:pPr>
            <w:r>
              <w:rPr>
                <w:rFonts w:ascii="Times New Roman"/>
                <w:b w:val="false"/>
                <w:i w:val="false"/>
                <w:color w:val="000000"/>
                <w:sz w:val="20"/>
              </w:rPr>
              <w:t xml:space="preserve">
ОСК                 </w:t>
            </w:r>
          </w:p>
          <w:p>
            <w:pPr>
              <w:spacing w:after="20"/>
              <w:ind w:left="20"/>
              <w:jc w:val="both"/>
            </w:pPr>
            <w:r>
              <w:rPr>
                <w:rFonts w:ascii="Times New Roman"/>
                <w:b w:val="false"/>
                <w:i w:val="false"/>
                <w:color w:val="000000"/>
                <w:sz w:val="20"/>
              </w:rPr>
              <w:t xml:space="preserve">
СІМ                  </w:t>
            </w:r>
          </w:p>
          <w:p>
            <w:pPr>
              <w:spacing w:after="20"/>
              <w:ind w:left="20"/>
              <w:jc w:val="both"/>
            </w:pPr>
            <w:r>
              <w:rPr>
                <w:rFonts w:ascii="Times New Roman"/>
                <w:b w:val="false"/>
                <w:i w:val="false"/>
                <w:color w:val="000000"/>
                <w:sz w:val="20"/>
              </w:rPr>
              <w:t xml:space="preserve">
СҚА                 </w:t>
            </w:r>
          </w:p>
          <w:p>
            <w:pPr>
              <w:spacing w:after="20"/>
              <w:ind w:left="20"/>
              <w:jc w:val="both"/>
            </w:pPr>
            <w:r>
              <w:rPr>
                <w:rFonts w:ascii="Times New Roman"/>
                <w:b w:val="false"/>
                <w:i w:val="false"/>
                <w:color w:val="000000"/>
                <w:sz w:val="20"/>
              </w:rPr>
              <w:t xml:space="preserve">
СЖРА              </w:t>
            </w:r>
          </w:p>
          <w:p>
            <w:pPr>
              <w:spacing w:after="20"/>
              <w:ind w:left="20"/>
              <w:jc w:val="both"/>
            </w:pPr>
            <w:r>
              <w:rPr>
                <w:rFonts w:ascii="Times New Roman"/>
                <w:b w:val="false"/>
                <w:i w:val="false"/>
                <w:color w:val="000000"/>
                <w:sz w:val="20"/>
              </w:rPr>
              <w:t xml:space="preserve">
ТЖМ               </w:t>
            </w:r>
          </w:p>
          <w:p>
            <w:pPr>
              <w:spacing w:after="20"/>
              <w:ind w:left="20"/>
              <w:jc w:val="both"/>
            </w:pPr>
            <w:r>
              <w:rPr>
                <w:rFonts w:ascii="Times New Roman"/>
                <w:b w:val="false"/>
                <w:i w:val="false"/>
                <w:color w:val="000000"/>
                <w:sz w:val="20"/>
              </w:rPr>
              <w:t xml:space="preserve">
ҰҚҚ                </w:t>
            </w:r>
          </w:p>
          <w:p>
            <w:pPr>
              <w:spacing w:after="20"/>
              <w:ind w:left="20"/>
              <w:jc w:val="both"/>
            </w:pPr>
            <w:r>
              <w:rPr>
                <w:rFonts w:ascii="Times New Roman"/>
                <w:b w:val="false"/>
                <w:i w:val="false"/>
                <w:color w:val="000000"/>
                <w:sz w:val="20"/>
              </w:rPr>
              <w:t xml:space="preserve">
ҰЭМ               </w:t>
            </w:r>
          </w:p>
          <w:p>
            <w:pPr>
              <w:spacing w:after="20"/>
              <w:ind w:left="20"/>
              <w:jc w:val="both"/>
            </w:pPr>
            <w:r>
              <w:rPr>
                <w:rFonts w:ascii="Times New Roman"/>
                <w:b w:val="false"/>
                <w:i w:val="false"/>
                <w:color w:val="000000"/>
                <w:sz w:val="20"/>
              </w:rPr>
              <w:t>
ЦДИАӨМ</w:t>
            </w:r>
          </w:p>
          <w:p>
            <w:pPr>
              <w:spacing w:after="20"/>
              <w:ind w:left="20"/>
              <w:jc w:val="both"/>
            </w:pPr>
          </w:p>
          <w:p>
            <w:pPr>
              <w:spacing w:after="20"/>
              <w:ind w:left="20"/>
              <w:jc w:val="both"/>
            </w:pPr>
            <w:r>
              <w:rPr>
                <w:rFonts w:ascii="Times New Roman"/>
                <w:b w:val="false"/>
                <w:i w:val="false"/>
                <w:color w:val="000000"/>
                <w:sz w:val="20"/>
              </w:rPr>
              <w:t xml:space="preserve">
ЭГТРМ           </w:t>
            </w:r>
          </w:p>
          <w:p>
            <w:pPr>
              <w:spacing w:after="20"/>
              <w:ind w:left="20"/>
              <w:jc w:val="both"/>
            </w:pPr>
            <w:r>
              <w:rPr>
                <w:rFonts w:ascii="Times New Roman"/>
                <w:b w:val="false"/>
                <w:i w:val="false"/>
                <w:color w:val="000000"/>
                <w:sz w:val="20"/>
              </w:rPr>
              <w:t xml:space="preserve">
ЭМ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 "Адам құқықтары жөніндегі ұлттық орталық" мемлекеттік мекемесі</w:t>
            </w:r>
          </w:p>
          <w:p>
            <w:pPr>
              <w:spacing w:after="20"/>
              <w:ind w:left="20"/>
              <w:jc w:val="both"/>
            </w:pPr>
            <w:r>
              <w:rPr>
                <w:rFonts w:ascii="Times New Roman"/>
                <w:b w:val="false"/>
                <w:i w:val="false"/>
                <w:color w:val="000000"/>
                <w:sz w:val="20"/>
              </w:rPr>
              <w:t>
– Қазақстан Республикасының Ауыл шаруашылығы министрлігі</w:t>
            </w:r>
          </w:p>
          <w:p>
            <w:pPr>
              <w:spacing w:after="20"/>
              <w:ind w:left="20"/>
              <w:jc w:val="both"/>
            </w:pPr>
            <w:r>
              <w:rPr>
                <w:rFonts w:ascii="Times New Roman"/>
                <w:b w:val="false"/>
                <w:i w:val="false"/>
                <w:color w:val="000000"/>
                <w:sz w:val="20"/>
              </w:rPr>
              <w:t xml:space="preserve">
– Қазақстан Республикасының Әділет министрлігі </w:t>
            </w:r>
          </w:p>
          <w:p>
            <w:pPr>
              <w:spacing w:after="20"/>
              <w:ind w:left="20"/>
              <w:jc w:val="both"/>
            </w:pPr>
            <w:r>
              <w:rPr>
                <w:rFonts w:ascii="Times New Roman"/>
                <w:b w:val="false"/>
                <w:i w:val="false"/>
                <w:color w:val="000000"/>
                <w:sz w:val="20"/>
              </w:rPr>
              <w:t>
– Қазақстан Республикасының Президенті жанындағы Әйелдер істері және отбасылық-</w:t>
            </w:r>
          </w:p>
          <w:p>
            <w:pPr>
              <w:spacing w:after="20"/>
              <w:ind w:left="20"/>
              <w:jc w:val="both"/>
            </w:pPr>
            <w:r>
              <w:rPr>
                <w:rFonts w:ascii="Times New Roman"/>
                <w:b w:val="false"/>
                <w:i w:val="false"/>
                <w:color w:val="000000"/>
                <w:sz w:val="20"/>
              </w:rPr>
              <w:t xml:space="preserve">
   демографиялық саясат жөніндегі ұлттық комиссия </w:t>
            </w:r>
          </w:p>
          <w:p>
            <w:pPr>
              <w:spacing w:after="20"/>
              <w:ind w:left="20"/>
              <w:jc w:val="both"/>
            </w:pPr>
            <w:r>
              <w:rPr>
                <w:rFonts w:ascii="Times New Roman"/>
                <w:b w:val="false"/>
                <w:i w:val="false"/>
                <w:color w:val="000000"/>
                <w:sz w:val="20"/>
              </w:rPr>
              <w:t>
– Қазақстан Республикасының Бәсекелестікті қорғау және дамыту агенттігі</w:t>
            </w:r>
          </w:p>
          <w:p>
            <w:pPr>
              <w:spacing w:after="20"/>
              <w:ind w:left="20"/>
              <w:jc w:val="both"/>
            </w:pPr>
            <w:r>
              <w:rPr>
                <w:rFonts w:ascii="Times New Roman"/>
                <w:b w:val="false"/>
                <w:i w:val="false"/>
                <w:color w:val="000000"/>
                <w:sz w:val="20"/>
              </w:rPr>
              <w:t xml:space="preserve">
– Қазақстан Республикасының Бас прокуратурасы </w:t>
            </w:r>
          </w:p>
          <w:p>
            <w:pPr>
              <w:spacing w:after="20"/>
              <w:ind w:left="20"/>
              <w:jc w:val="both"/>
            </w:pPr>
            <w:r>
              <w:rPr>
                <w:rFonts w:ascii="Times New Roman"/>
                <w:b w:val="false"/>
                <w:i w:val="false"/>
                <w:color w:val="000000"/>
                <w:sz w:val="20"/>
              </w:rPr>
              <w:t xml:space="preserve">
– Қазақстан Республикасының Білім және ғылым министрлігі </w:t>
            </w:r>
          </w:p>
          <w:p>
            <w:pPr>
              <w:spacing w:after="20"/>
              <w:ind w:left="20"/>
              <w:jc w:val="both"/>
            </w:pPr>
            <w:r>
              <w:rPr>
                <w:rFonts w:ascii="Times New Roman"/>
                <w:b w:val="false"/>
                <w:i w:val="false"/>
                <w:color w:val="000000"/>
                <w:sz w:val="20"/>
              </w:rPr>
              <w:t>
– Біріккен Ұлттар Ұйымы</w:t>
            </w:r>
          </w:p>
          <w:p>
            <w:pPr>
              <w:spacing w:after="20"/>
              <w:ind w:left="20"/>
              <w:jc w:val="both"/>
            </w:pPr>
            <w:r>
              <w:rPr>
                <w:rFonts w:ascii="Times New Roman"/>
                <w:b w:val="false"/>
                <w:i w:val="false"/>
                <w:color w:val="000000"/>
                <w:sz w:val="20"/>
              </w:rPr>
              <w:t>
– БҰҰ Адам құқықтары жөніндегі жоғарғы комиссар басқармасы</w:t>
            </w:r>
          </w:p>
          <w:p>
            <w:pPr>
              <w:spacing w:after="20"/>
              <w:ind w:left="20"/>
              <w:jc w:val="both"/>
            </w:pPr>
            <w:r>
              <w:rPr>
                <w:rFonts w:ascii="Times New Roman"/>
                <w:b w:val="false"/>
                <w:i w:val="false"/>
                <w:color w:val="000000"/>
                <w:sz w:val="20"/>
              </w:rPr>
              <w:t>
– Қазақстан Республикасының Үкіметі жанындағы Заң жобалау қызметі мәселелері</w:t>
            </w:r>
          </w:p>
          <w:p>
            <w:pPr>
              <w:spacing w:after="20"/>
              <w:ind w:left="20"/>
              <w:jc w:val="both"/>
            </w:pPr>
            <w:r>
              <w:rPr>
                <w:rFonts w:ascii="Times New Roman"/>
                <w:b w:val="false"/>
                <w:i w:val="false"/>
                <w:color w:val="000000"/>
                <w:sz w:val="20"/>
              </w:rPr>
              <w:t xml:space="preserve">
   жөніндегі ведомствоаралық комиссия  </w:t>
            </w:r>
          </w:p>
          <w:p>
            <w:pPr>
              <w:spacing w:after="20"/>
              <w:ind w:left="20"/>
              <w:jc w:val="both"/>
            </w:pPr>
            <w:r>
              <w:rPr>
                <w:rFonts w:ascii="Times New Roman"/>
                <w:b w:val="false"/>
                <w:i w:val="false"/>
                <w:color w:val="000000"/>
                <w:sz w:val="20"/>
              </w:rPr>
              <w:t xml:space="preserve">
– Қазақстан Республикасының Денсаулық сақтау министрлігі </w:t>
            </w:r>
          </w:p>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xml:space="preserve">
– Қазақстан Республикасының Жоғарғы Соты </w:t>
            </w:r>
          </w:p>
          <w:p>
            <w:pPr>
              <w:spacing w:after="20"/>
              <w:ind w:left="20"/>
              <w:jc w:val="both"/>
            </w:pPr>
            <w:r>
              <w:rPr>
                <w:rFonts w:ascii="Times New Roman"/>
                <w:b w:val="false"/>
                <w:i w:val="false"/>
                <w:color w:val="000000"/>
                <w:sz w:val="20"/>
              </w:rPr>
              <w:t xml:space="preserve">
– Қазақстан Республикасының Ішкі істер министрлігі </w:t>
            </w:r>
          </w:p>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xml:space="preserve">
– Қазақстан Республикасының Қаржы министрлігі </w:t>
            </w:r>
          </w:p>
          <w:p>
            <w:pPr>
              <w:spacing w:after="20"/>
              <w:ind w:left="20"/>
              <w:jc w:val="both"/>
            </w:pPr>
            <w:r>
              <w:rPr>
                <w:rFonts w:ascii="Times New Roman"/>
                <w:b w:val="false"/>
                <w:i w:val="false"/>
                <w:color w:val="000000"/>
                <w:sz w:val="20"/>
              </w:rPr>
              <w:t>
– Қазақстан Республикасының Мемлекеттік қызмет істер агенттігі</w:t>
            </w:r>
          </w:p>
          <w:p>
            <w:pPr>
              <w:spacing w:after="20"/>
              <w:ind w:left="20"/>
              <w:jc w:val="both"/>
            </w:pPr>
            <w:r>
              <w:rPr>
                <w:rFonts w:ascii="Times New Roman"/>
                <w:b w:val="false"/>
                <w:i w:val="false"/>
                <w:color w:val="000000"/>
                <w:sz w:val="20"/>
              </w:rPr>
              <w:t xml:space="preserve">
– Қазақстан Республикасының Мәдениет және спорт министрлігі </w:t>
            </w:r>
          </w:p>
          <w:p>
            <w:pPr>
              <w:spacing w:after="20"/>
              <w:ind w:left="20"/>
              <w:jc w:val="both"/>
            </w:pPr>
            <w:r>
              <w:rPr>
                <w:rFonts w:ascii="Times New Roman"/>
                <w:b w:val="false"/>
                <w:i w:val="false"/>
                <w:color w:val="000000"/>
                <w:sz w:val="20"/>
              </w:rPr>
              <w:t>
– Қазақстан Республикасының Орталық сайлау комиссиясы</w:t>
            </w:r>
          </w:p>
          <w:p>
            <w:pPr>
              <w:spacing w:after="20"/>
              <w:ind w:left="20"/>
              <w:jc w:val="both"/>
            </w:pPr>
            <w:r>
              <w:rPr>
                <w:rFonts w:ascii="Times New Roman"/>
                <w:b w:val="false"/>
                <w:i w:val="false"/>
                <w:color w:val="000000"/>
                <w:sz w:val="20"/>
              </w:rPr>
              <w:t xml:space="preserve">
– Қазақстан Республикасының Сыртқы істер министрлігі     </w:t>
            </w:r>
          </w:p>
          <w:p>
            <w:pPr>
              <w:spacing w:after="20"/>
              <w:ind w:left="20"/>
              <w:jc w:val="both"/>
            </w:pPr>
            <w:r>
              <w:rPr>
                <w:rFonts w:ascii="Times New Roman"/>
                <w:b w:val="false"/>
                <w:i w:val="false"/>
                <w:color w:val="000000"/>
                <w:sz w:val="20"/>
              </w:rPr>
              <w:t>
– Қазақстан Республикасының Сыбайлас жемқорлыққа қарсы іс-қимыл агенттігі</w:t>
            </w:r>
          </w:p>
          <w:p>
            <w:pPr>
              <w:spacing w:after="20"/>
              <w:ind w:left="20"/>
              <w:jc w:val="both"/>
            </w:pPr>
            <w:r>
              <w:rPr>
                <w:rFonts w:ascii="Times New Roman"/>
                <w:b w:val="false"/>
                <w:i w:val="false"/>
                <w:color w:val="000000"/>
                <w:sz w:val="20"/>
              </w:rPr>
              <w:t>
– Қазақстан Республикасының Стратегиялық жоспарлау және реформалар агенттігі</w:t>
            </w:r>
          </w:p>
          <w:p>
            <w:pPr>
              <w:spacing w:after="20"/>
              <w:ind w:left="20"/>
              <w:jc w:val="both"/>
            </w:pPr>
            <w:r>
              <w:rPr>
                <w:rFonts w:ascii="Times New Roman"/>
                <w:b w:val="false"/>
                <w:i w:val="false"/>
                <w:color w:val="000000"/>
                <w:sz w:val="20"/>
              </w:rPr>
              <w:t>
– Қазақстан Республикасының Төтенше жағдайлар министрлігі</w:t>
            </w:r>
          </w:p>
          <w:p>
            <w:pPr>
              <w:spacing w:after="20"/>
              <w:ind w:left="20"/>
              <w:jc w:val="both"/>
            </w:pPr>
            <w:r>
              <w:rPr>
                <w:rFonts w:ascii="Times New Roman"/>
                <w:b w:val="false"/>
                <w:i w:val="false"/>
                <w:color w:val="000000"/>
                <w:sz w:val="20"/>
              </w:rPr>
              <w:t>
– Қазақстан Республикасының Ұлттық қауіпсіздік комитеті</w:t>
            </w:r>
          </w:p>
          <w:p>
            <w:pPr>
              <w:spacing w:after="20"/>
              <w:ind w:left="20"/>
              <w:jc w:val="both"/>
            </w:pPr>
            <w:r>
              <w:rPr>
                <w:rFonts w:ascii="Times New Roman"/>
                <w:b w:val="false"/>
                <w:i w:val="false"/>
                <w:color w:val="000000"/>
                <w:sz w:val="20"/>
              </w:rPr>
              <w:t>
– Қазақстан Республикасының Ұлттық экономика министрлігі</w:t>
            </w:r>
          </w:p>
          <w:p>
            <w:pPr>
              <w:spacing w:after="20"/>
              <w:ind w:left="20"/>
              <w:jc w:val="both"/>
            </w:pPr>
            <w:r>
              <w:rPr>
                <w:rFonts w:ascii="Times New Roman"/>
                <w:b w:val="false"/>
                <w:i w:val="false"/>
                <w:color w:val="000000"/>
                <w:sz w:val="20"/>
              </w:rPr>
              <w:t xml:space="preserve">
– Қазақстан Республикасының Цифрлық даму, инновациялар және аэроғарыш өнеркәсібі </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p>
            <w:pPr>
              <w:spacing w:after="20"/>
              <w:ind w:left="20"/>
              <w:jc w:val="both"/>
            </w:pPr>
            <w:r>
              <w:rPr>
                <w:rFonts w:ascii="Times New Roman"/>
                <w:b w:val="false"/>
                <w:i w:val="false"/>
                <w:color w:val="000000"/>
                <w:sz w:val="20"/>
              </w:rPr>
              <w:t>
– Қазақстан Республикасының Энергетика министрлігі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