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596e" w14:textId="fc85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951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"Ы. Алтынсарин атындағы Ұлттық білім академиясы" республикалық мемлекеттік қазыналық кәсіпорны заңнамада белгіленген тәртіппен қайта құру жолымен Қазақстан Республикасы Білім және ғылым министрлігінің "Ы. Алтынсарин атындағы Ұлттық білім академиясы"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Білім және ғылым министрлігі кәсіпорынға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мәні білім беру жүйесі мен білім беру процесін әдіснамалық және ғылыми-әдістемелік қамтамасыз ету (мемлекеттік жалпыға міндетті білім беру стандарттары, оқу жоспарлары, оқу бағдарламалары)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кәсіпорынның жарғысын Қазақстан Республикасы Қаржы министрлігінің Мемлекеттік мүлік және жекешелендіру комитетіне бекітуге енгізсін;</w:t>
      </w:r>
    </w:p>
    <w:bookmarkEnd w:id="6"/>
    <w:bookmarkStart w:name="z8" w:id="7"/>
    <w:p>
      <w:pPr>
        <w:spacing w:after="0"/>
        <w:ind w:left="0"/>
        <w:jc w:val="both"/>
      </w:pPr>
      <w:r>
        <w:rPr>
          <w:rFonts w:ascii="Times New Roman"/>
          <w:b w:val="false"/>
          <w:i w:val="false"/>
          <w:color w:val="000000"/>
          <w:sz w:val="28"/>
        </w:rPr>
        <w:t>
      2) кәсіпорынды "Азаматтарға арналған үкімет" мемлекеттік корпорациясы" коммерциялық емес акционерлік қоғамында мемлекеттік тіркеуді;</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