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9b32" w14:textId="dbb9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грант туралы келісімге (Азия-Тынық мұхиты дүлей зілзалаларға ден қою қоры) (COVID-19-ға шұғыл ден қою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7 желтоқсандағы № 826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 мен Азия Даму Банкі арасындағы грант туралы келісімге (Азия-Тынық мұхиты дүлей зілзалаларға ден қою қоры) (COVID-19-ға шұғыл ден қою жобасы)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Азия Даму Банкі арасындағы грант туралы келісімге (Азия-Тынық мұхиты дүлей зілзалаларға ден қою қоры) (COVID-19-ға шұғыл ден қою жобасы) қол қою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1. Қоса беріліп отырған Қазақстан Республикасы мен Азия Даму Банкі арасындағы грант туралы келісімнің (Азия-Тынық мұхиты дүлей зілзалаларға ден қою қоры) (COVID-19-ға шұғыл ден қою жобасы) жобасы мақұлдансын.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Денсаулық сақтау министрі Алексей Владимирович Цойға Қазақстан Республикасы мен Азия Даму Банкі арасындағы грант туралы келісімге (Азия-Тынық мұхиты дүлей зілзалаларға ден қою қоры) (COVID-19-ға шұғыл ден қою жобасы) Қазақстан Республикасының атынан қол қоюға өкілеттік берілсін. </w:t>
      </w:r>
    </w:p>
    <w:bookmarkEnd w:id="3"/>
    <w:bookmarkStart w:name="z5"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Қазақстан Республикасы мен Азия Даму Банкі арасындағы грант туралы келісім (Азия-Тынық мұхиты дүлей зілзалаларға ден қою қоры) (COVID-19-ға шұғыл ден қою жобасы)</w:t>
      </w:r>
    </w:p>
    <w:bookmarkEnd w:id="5"/>
    <w:p>
      <w:pPr>
        <w:spacing w:after="0"/>
        <w:ind w:left="0"/>
        <w:jc w:val="both"/>
      </w:pPr>
      <w:r>
        <w:rPr>
          <w:rFonts w:ascii="Times New Roman"/>
          <w:b w:val="false"/>
          <w:i w:val="false"/>
          <w:color w:val="000000"/>
          <w:sz w:val="28"/>
        </w:rPr>
        <w:t xml:space="preserve">
      ҚАЗАҚСТАН РЕСПУБЛИКАСЫ ("Алушы") және АЗИЯ ДАМУ БАНКІ ("АДБ") арасындағы 20__ жылғы ___ _________________ ГРАНТ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(А) осы Грант туралы келісімге 1-қосымшада сипатталған Жобаның мақсаттары үшін Алушы АДБ-ға жүгінгенін; </w:t>
      </w:r>
    </w:p>
    <w:p>
      <w:pPr>
        <w:spacing w:after="0"/>
        <w:ind w:left="0"/>
        <w:jc w:val="both"/>
      </w:pPr>
      <w:r>
        <w:rPr>
          <w:rFonts w:ascii="Times New Roman"/>
          <w:b w:val="false"/>
          <w:i w:val="false"/>
          <w:color w:val="000000"/>
          <w:sz w:val="28"/>
        </w:rPr>
        <w:t>
      (В) АДБ аталған құжатта келісілген шарттар мен ережелердің негізінде Азия-Тынық мұхиты дүлей зілзалаларға ден қою қорының Жапония Үкіметі ұсынған, COVID-19-бен күреске бағытталған жобаларға резервтелген қаражатынан Алушыға Грант қаражатын бөлуге келісім бергенін; және</w:t>
      </w:r>
    </w:p>
    <w:p>
      <w:pPr>
        <w:spacing w:after="0"/>
        <w:ind w:left="0"/>
        <w:jc w:val="both"/>
      </w:pPr>
      <w:r>
        <w:rPr>
          <w:rFonts w:ascii="Times New Roman"/>
          <w:b w:val="false"/>
          <w:i w:val="false"/>
          <w:color w:val="000000"/>
          <w:sz w:val="28"/>
        </w:rPr>
        <w:t xml:space="preserve">
      (С) Жобаны Қазақстан Республикасы Еңбек және халықты әлеуметтік қорғау министрлігі (Іске асырушы агенттік) іске асыратынын және осыған байланысты Алушы Іске асырушы агенттікке АДБ-ның талаптарын қанағаттандыратын шарттарда осы құжатта көзделген грант қаражатына қолжетімділік беретінін назарға ала отырып; </w:t>
      </w:r>
    </w:p>
    <w:p>
      <w:pPr>
        <w:spacing w:after="0"/>
        <w:ind w:left="0"/>
        <w:jc w:val="both"/>
      </w:pPr>
      <w:r>
        <w:rPr>
          <w:rFonts w:ascii="Times New Roman"/>
          <w:b w:val="false"/>
          <w:i w:val="false"/>
          <w:color w:val="000000"/>
          <w:sz w:val="28"/>
        </w:rPr>
        <w:t>
      ОСЫ АРҚЫЛЫ Алушы және АДБ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І БАП</w:t>
      </w:r>
    </w:p>
    <w:p>
      <w:pPr>
        <w:spacing w:after="0"/>
        <w:ind w:left="0"/>
        <w:jc w:val="both"/>
      </w:pPr>
      <w:r>
        <w:rPr>
          <w:rFonts w:ascii="Times New Roman"/>
          <w:b/>
          <w:i w:val="false"/>
          <w:color w:val="000000"/>
          <w:sz w:val="28"/>
        </w:rPr>
        <w:t>Грант беру туралы ереже. Анықтамалар</w:t>
      </w:r>
    </w:p>
    <w:p>
      <w:pPr>
        <w:spacing w:after="0"/>
        <w:ind w:left="0"/>
        <w:jc w:val="both"/>
      </w:pPr>
      <w:r>
        <w:rPr>
          <w:rFonts w:ascii="Times New Roman"/>
          <w:b w:val="false"/>
          <w:i w:val="false"/>
          <w:color w:val="000000"/>
          <w:sz w:val="28"/>
        </w:rPr>
        <w:t>
      1.01-бөлім.  2009 жылғы 1 сәуірдегі Азия-Тынық мұхиты дүлей зілзалаларға ден қою  қорының гранттары туралы ережелерде (бұдан әрі – "Грант туралы ережелер") көрсетілген барлық ережелер осы арқылы аталған Грант туралы келісімге осы құжатта толық жазылғандай, дәл сол күшімен және әрекетімен қолданылады.</w:t>
      </w:r>
    </w:p>
    <w:p>
      <w:pPr>
        <w:spacing w:after="0"/>
        <w:ind w:left="0"/>
        <w:jc w:val="both"/>
      </w:pPr>
      <w:r>
        <w:rPr>
          <w:rFonts w:ascii="Times New Roman"/>
          <w:b w:val="false"/>
          <w:i w:val="false"/>
          <w:color w:val="000000"/>
          <w:sz w:val="28"/>
        </w:rPr>
        <w:t xml:space="preserve">
      1.02-бөлім. Осы Грант туралы келісімде пайдаланған кезде мағынасы "Грант туралы ережеде" айқындалған терминдер контексте өзгеше талап етілмесе, сонда бекітілген анықтамаларға сәйкес келеді. Бұдан басқа, мына терминдердің мынадай мағынасы бар: </w:t>
      </w:r>
    </w:p>
    <w:p>
      <w:pPr>
        <w:spacing w:after="0"/>
        <w:ind w:left="0"/>
        <w:jc w:val="both"/>
      </w:pPr>
      <w:r>
        <w:rPr>
          <w:rFonts w:ascii="Times New Roman"/>
          <w:b w:val="false"/>
          <w:i w:val="false"/>
          <w:color w:val="000000"/>
          <w:sz w:val="28"/>
        </w:rPr>
        <w:t>
      (а) "Аудиторлар" Алушының жоғары қаржылық бақылау органын немесе біліктілігі, тәжірибесі мен техникалық тапсырмасы АДБ үшін қолайлы болып табылатын тәуелсіз аудиторларды білдіреді;</w:t>
      </w:r>
    </w:p>
    <w:p>
      <w:pPr>
        <w:spacing w:after="0"/>
        <w:ind w:left="0"/>
        <w:jc w:val="both"/>
      </w:pPr>
      <w:r>
        <w:rPr>
          <w:rFonts w:ascii="Times New Roman"/>
          <w:b w:val="false"/>
          <w:i w:val="false"/>
          <w:color w:val="000000"/>
          <w:sz w:val="28"/>
        </w:rPr>
        <w:t>
      (b)   "Іске асырушы агенттік" Алушының Қазақстан Республикасы Еңбек және халықты әлеуметтік қорғау министрлігін білдіреді не АДБ-ның талаптарын қанағаттандыратын кез келген басқа ұйым.</w:t>
      </w:r>
    </w:p>
    <w:p>
      <w:pPr>
        <w:spacing w:after="0"/>
        <w:ind w:left="0"/>
        <w:jc w:val="both"/>
      </w:pPr>
      <w:r>
        <w:rPr>
          <w:rFonts w:ascii="Times New Roman"/>
          <w:b/>
          <w:i w:val="false"/>
          <w:color w:val="000000"/>
          <w:sz w:val="28"/>
        </w:rPr>
        <w:t>ІІ БАП</w:t>
      </w:r>
    </w:p>
    <w:p>
      <w:pPr>
        <w:spacing w:after="0"/>
        <w:ind w:left="0"/>
        <w:jc w:val="both"/>
      </w:pPr>
      <w:r>
        <w:rPr>
          <w:rFonts w:ascii="Times New Roman"/>
          <w:b/>
          <w:i w:val="false"/>
          <w:color w:val="000000"/>
          <w:sz w:val="28"/>
        </w:rPr>
        <w:t>Осы грант</w:t>
      </w:r>
    </w:p>
    <w:p>
      <w:pPr>
        <w:spacing w:after="0"/>
        <w:ind w:left="0"/>
        <w:jc w:val="both"/>
      </w:pPr>
      <w:r>
        <w:rPr>
          <w:rFonts w:ascii="Times New Roman"/>
          <w:b w:val="false"/>
          <w:i w:val="false"/>
          <w:color w:val="000000"/>
          <w:sz w:val="28"/>
        </w:rPr>
        <w:t>
      2.01-бөлім. АДБ осы Грант туралы келісімде жазылған шарттарда Азия-Тынық мұхиты дүлей зілзалаларға ден қою қорының ресурстарынан Алушыға $3000000 (үш миллион АҚШ доллары) мөлшеріндегі соманы беруге міндеттенеді.</w:t>
      </w:r>
    </w:p>
    <w:p>
      <w:pPr>
        <w:spacing w:after="0"/>
        <w:ind w:left="0"/>
        <w:jc w:val="both"/>
      </w:pPr>
      <w:r>
        <w:rPr>
          <w:rFonts w:ascii="Times New Roman"/>
          <w:b/>
          <w:i w:val="false"/>
          <w:color w:val="000000"/>
          <w:sz w:val="28"/>
        </w:rPr>
        <w:t>ІІІ БАП</w:t>
      </w:r>
    </w:p>
    <w:p>
      <w:pPr>
        <w:spacing w:after="0"/>
        <w:ind w:left="0"/>
        <w:jc w:val="both"/>
      </w:pPr>
      <w:r>
        <w:rPr>
          <w:rFonts w:ascii="Times New Roman"/>
          <w:b/>
          <w:i w:val="false"/>
          <w:color w:val="000000"/>
          <w:sz w:val="28"/>
        </w:rPr>
        <w:t>Грант қаражатын пайдалану</w:t>
      </w:r>
    </w:p>
    <w:p>
      <w:pPr>
        <w:spacing w:after="0"/>
        <w:ind w:left="0"/>
        <w:jc w:val="both"/>
      </w:pPr>
      <w:r>
        <w:rPr>
          <w:rFonts w:ascii="Times New Roman"/>
          <w:b w:val="false"/>
          <w:i w:val="false"/>
          <w:color w:val="000000"/>
          <w:sz w:val="28"/>
        </w:rPr>
        <w:t>
      3.01-бөлім.  Алушы осы Грант туралы келісімнің ережелеріне сәйкес Грант қаражатын Жоба бойынша шығыстарды қаржыландыру үшін пайдалануды қамтамасыз етуге міндеттенеді.</w:t>
      </w:r>
    </w:p>
    <w:p>
      <w:pPr>
        <w:spacing w:after="0"/>
        <w:ind w:left="0"/>
        <w:jc w:val="both"/>
      </w:pPr>
      <w:r>
        <w:rPr>
          <w:rFonts w:ascii="Times New Roman"/>
          <w:b w:val="false"/>
          <w:i w:val="false"/>
          <w:color w:val="000000"/>
          <w:sz w:val="28"/>
        </w:rPr>
        <w:t xml:space="preserve">
      3.02-бөлім. Грант қаражаты осы Грант туралы келісімге 2-қосымшада көрсетілген ережелерге сәйкес Грантқа арналған шоттан бір мәрте алынуға жатады. </w:t>
      </w:r>
    </w:p>
    <w:p>
      <w:pPr>
        <w:spacing w:after="0"/>
        <w:ind w:left="0"/>
        <w:jc w:val="both"/>
      </w:pPr>
      <w:r>
        <w:rPr>
          <w:rFonts w:ascii="Times New Roman"/>
          <w:b w:val="false"/>
          <w:i w:val="false"/>
          <w:color w:val="000000"/>
          <w:sz w:val="28"/>
        </w:rPr>
        <w:t>
      3.03-бөлім.  Грант қаражатының есебінен қаржыландырылатын барлық тауарлар, жұмыстар және консультациялық көрсетілетін қызметтер Алушының сатып алу саласындағы заңнамасы мен нормативтік құқықтық актілеріне сәйкес сатып алынуға тиіс.</w:t>
      </w:r>
    </w:p>
    <w:p>
      <w:pPr>
        <w:spacing w:after="0"/>
        <w:ind w:left="0"/>
        <w:jc w:val="both"/>
      </w:pPr>
      <w:r>
        <w:rPr>
          <w:rFonts w:ascii="Times New Roman"/>
          <w:b w:val="false"/>
          <w:i w:val="false"/>
          <w:color w:val="000000"/>
          <w:sz w:val="28"/>
        </w:rPr>
        <w:t xml:space="preserve">
      3.04-бөлім.  Осы Грант туралы келісім жасалған күннен кейін 6 айдан соң келетін күн немесе Алушы мен АДБ арасында жекелеген жағдайларда келісілуі мүмкін осындай басқа күн Грант туралы ережелердің 8.02-бөлімінің мақсаттары үшін Грантты жабу күні болып табылады. Алушы Грант жабылған күннен кейін шеккен кез келген шығыстарға қатысты Грант қаражатын пайдаланбауға немесе пайдалануға жол бермеуге міндеттенеді.   </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Айрықша шарттар</w:t>
      </w:r>
    </w:p>
    <w:p>
      <w:pPr>
        <w:spacing w:after="0"/>
        <w:ind w:left="0"/>
        <w:jc w:val="both"/>
      </w:pPr>
      <w:r>
        <w:rPr>
          <w:rFonts w:ascii="Times New Roman"/>
          <w:b w:val="false"/>
          <w:i w:val="false"/>
          <w:color w:val="000000"/>
          <w:sz w:val="28"/>
        </w:rPr>
        <w:t>
      4.01-бөлім. а) Алушы Іске асырушы агенттік арқылы әрекет ете отырып:  (і) Жоба бойынша бөлек шоттар мен есептік жазбаларды жүргізуге немесе жүргізуді қамтамасыз етуге; (іі) АДБ үшін қолайлы қаржылық есептілік стандарттарына сәйкес Жоба бойынша жылдық қаржылық есептілікті дайындауды жүзеге асыруға; (ііі) бұл қаржылық есептілікке аудиторлардың аудит жүргізуіне; (iv) осындай әрбір аудит шеңберінде аудиторлар қаржылық есептілік және гранттан түсетін түсімдерді пайдалану туралы аудиторлардың пікірін (пікірлерін), сондай-ақ басшылықтың (егер мұндайлар болса, аудит барысында анықталған жобаның ішкі бақылауындағы жетіспеушіліктері жазылған) хатын қамтитын есепті дайындауы тиіс; және (v) АДБ-дан осы Грант туралы келісімге 2-қосымшада көрсетілген шығыстар ведомосі алынғаннан кейін 6 айдан кешіктірмей АДБ-ға осындай тексерілген қаржылық есептердің, аудиторлық қорытындының және басшылыққа арналған хаттың көшірмелерін ағылшын тілінде, сондай-ақ бұл құжаттар мен олардың аудитіне қатысты АДБ ауық-ауық негізді түрде сұратуы мүмкін өзге де ақпаратты беруге міндеттенеді.</w:t>
      </w:r>
    </w:p>
    <w:p>
      <w:pPr>
        <w:spacing w:after="0"/>
        <w:ind w:left="0"/>
        <w:jc w:val="both"/>
      </w:pPr>
      <w:r>
        <w:rPr>
          <w:rFonts w:ascii="Times New Roman"/>
          <w:b w:val="false"/>
          <w:i w:val="false"/>
          <w:color w:val="000000"/>
          <w:sz w:val="28"/>
        </w:rPr>
        <w:t xml:space="preserve">
      (b) АДБ Жоба бойынша аудиттелген жылдық қаржылық есептілікті және қаржылық есептілік туралы аудиторлардың қорытындысын АДБ олардың қолайлылығын растаған күннен бастап 14 күннің ішінде АДБ веб-сайтында орналастыру арқылы жариялауға міндеттенеді. </w:t>
      </w:r>
    </w:p>
    <w:p>
      <w:pPr>
        <w:spacing w:after="0"/>
        <w:ind w:left="0"/>
        <w:jc w:val="both"/>
      </w:pPr>
      <w:r>
        <w:rPr>
          <w:rFonts w:ascii="Times New Roman"/>
          <w:b w:val="false"/>
          <w:i w:val="false"/>
          <w:color w:val="000000"/>
          <w:sz w:val="28"/>
        </w:rPr>
        <w:t>
       (с) Алушы Іске асырушы агенттік арқылы АДБ-ның сұрау салуы бойынша оған жоба бойынша қаржылық есептерді аудиторлармен талқылау мүмкіндігін беруге және құзыреттілік беруге және АДБ-ның сұрау салуы бойынша мұндай талқылауларға аудиторлар өкілінің қатысуын көздеуге міндеттенеді. Бұл ретте, мұндай талқылаулар, егер Іске асырушы агенттікпен өзге уағдаластықтарға қол жеткізілмесе, Алушының және Іске асырушы агенттіктің уәкілетті қызметкерінің қатысуымен өткізілуге тиіс.</w:t>
      </w:r>
    </w:p>
    <w:p>
      <w:pPr>
        <w:spacing w:after="0"/>
        <w:ind w:left="0"/>
        <w:jc w:val="both"/>
      </w:pPr>
      <w:r>
        <w:rPr>
          <w:rFonts w:ascii="Times New Roman"/>
          <w:b w:val="false"/>
          <w:i w:val="false"/>
          <w:color w:val="000000"/>
          <w:sz w:val="28"/>
        </w:rPr>
        <w:t xml:space="preserve">
      4.02-бөлім. Алушы Іске асырушы агенттік арқылы АДБ өкілдеріне Грант қаражатының есебінен қаржыландырылатын Жобаны, тауарларды, жұмыстар мен көрсетілетін қызметтерді, сондай-ақ кез келген тиісті есептік жазбалар мен құжаттарға тексеру жүргізу мүмкіндігін беруге міндеттенеді.     </w:t>
      </w:r>
    </w:p>
    <w:p>
      <w:pPr>
        <w:spacing w:after="0"/>
        <w:ind w:left="0"/>
        <w:jc w:val="both"/>
      </w:pPr>
      <w:r>
        <w:rPr>
          <w:rFonts w:ascii="Times New Roman"/>
          <w:b w:val="false"/>
          <w:i w:val="false"/>
          <w:color w:val="000000"/>
          <w:sz w:val="28"/>
        </w:rPr>
        <w:t>
      4.03-бөлім. Алушы Іске асырушы агенттік арқылы жобаны іске асыру процесін бақылауға және осы Грант туралы келісімге 1-қосымшада сипатталған жобаның мақсаттарына қол жеткізу үшін ұсынылған грант қаражатынан қаржыландырылатын дәрі-дәрмектердің, медициналық мақсаттағы заттар мен жабдықтардың бекітілген тізбесін АДБ-ға ұсынуға міндеттенеді.</w:t>
      </w:r>
    </w:p>
    <w:p>
      <w:pPr>
        <w:spacing w:after="0"/>
        <w:ind w:left="0"/>
        <w:jc w:val="both"/>
      </w:pPr>
      <w:r>
        <w:rPr>
          <w:rFonts w:ascii="Times New Roman"/>
          <w:b w:val="false"/>
          <w:i w:val="false"/>
          <w:color w:val="000000"/>
          <w:sz w:val="28"/>
        </w:rPr>
        <w:t>
      4.04-бөлім. Алушы Іске асырушы агенттік арқылы тендерлік құжаттама мен толық немесе ішінара Грант қаражатынан қаржыландырылатын келісімшарттарға сауда-саттыққа қатысушылардан, өнім берушілерден, мердігерлерден және консультанттардан АДБ-ны немесе оның өкілін олардың есептері мен есептік жазбаларын, сондай-ақ өтінімдер беруге қатысты өзге де құжаттарды тексеруге жіберуді, сондай-ақ олардың аудитін АДБ тағайындаған аудиторлардың өткізуін талап ететін ережені қосуға міндеттенеді.</w:t>
      </w:r>
    </w:p>
    <w:p>
      <w:pPr>
        <w:spacing w:after="0"/>
        <w:ind w:left="0"/>
        <w:jc w:val="both"/>
      </w:pPr>
      <w:r>
        <w:rPr>
          <w:rFonts w:ascii="Times New Roman"/>
          <w:b w:val="false"/>
          <w:i w:val="false"/>
          <w:color w:val="000000"/>
          <w:sz w:val="28"/>
        </w:rPr>
        <w:t>
      4.05-бөлім. Алушы толық немесе ішінара Грант қаражатынан қаржыландырылатын келісімшарттарға өнім берушілер, мердігерлер және консультанттар үшін сатып алу процесіне, консультанттарды іріктеу процесіне және келісімшартты орындауға байланысты өтінімде немесе ұсыныста көрсетілгендерден басқа, қаламақылар, сыйақы, жеңілдік, сыйлық, комиссия немесе басқа да төлемдерді ұсынуға немесе оларды алуға жол берілмейтіні туралы міндеттемені қосуға міндеттенеді.</w:t>
      </w:r>
    </w:p>
    <w:p>
      <w:pPr>
        <w:spacing w:after="0"/>
        <w:ind w:left="0"/>
        <w:jc w:val="both"/>
      </w:pPr>
      <w:r>
        <w:rPr>
          <w:rFonts w:ascii="Times New Roman"/>
          <w:b w:val="false"/>
          <w:i w:val="false"/>
          <w:color w:val="000000"/>
          <w:sz w:val="28"/>
        </w:rPr>
        <w:t xml:space="preserve">
      4.06-бөлім. АДБ жағдайға қарай, келісімшартты тағайындауға ұсынылған сауда-саттыққа қатысушы немесе консультант көрсетілген келісімшарт үшін бәсекелестік күресте тікелей немесе агент арқылы жемқорлық, алаяқтық, сөз байласу немесе мәжбүрлеу әрекеттеріне қатысқанын анықталса, ол келісімшартты тағайындау туралы ұсыныстан бас тарту құқығын өзіне қалдырады.   </w:t>
      </w:r>
    </w:p>
    <w:p>
      <w:pPr>
        <w:spacing w:after="0"/>
        <w:ind w:left="0"/>
        <w:jc w:val="both"/>
      </w:pPr>
      <w:r>
        <w:rPr>
          <w:rFonts w:ascii="Times New Roman"/>
          <w:b w:val="false"/>
          <w:i w:val="false"/>
          <w:color w:val="000000"/>
          <w:sz w:val="28"/>
        </w:rPr>
        <w:t xml:space="preserve">
      4.07-бөлім. Егер Банк кез келген уақытта конкурстық сауда-саттыққа қатысу немесе АДБ қаржыландыратын келісімшартты орындау кезінде осындай тараптың жемқорлық, алаяқтық, сөз байласу, мәжбүрлеу немесе тыйым салынған басқа әрекеттерге қатысқанын анықтаса, АДБ тарапқа немесе оның құқықтық мирасқорына санкция салу, оның ішінде мұндай тарапты немесе оның құқықтық мирасқорын белгіленбеген мерзімге не АДБ қаржыландыратын қызметке қатысу үшін белгіленген уақыт кезеңі ішінде құқыққа қабілетсіз деп жариялау құқығын өзіне қалдырады.  </w:t>
      </w:r>
    </w:p>
    <w:p>
      <w:pPr>
        <w:spacing w:after="0"/>
        <w:ind w:left="0"/>
        <w:jc w:val="both"/>
      </w:pPr>
      <w:r>
        <w:rPr>
          <w:rFonts w:ascii="Times New Roman"/>
          <w:b w:val="false"/>
          <w:i w:val="false"/>
          <w:color w:val="000000"/>
          <w:sz w:val="28"/>
        </w:rPr>
        <w:t>
      4.08-бөлім. 4.06-бөлім мен 4.07-бөлімнің мақсаттары үшін мына терминдердің мынадай мағынасы бар:</w:t>
      </w:r>
    </w:p>
    <w:p>
      <w:pPr>
        <w:spacing w:after="0"/>
        <w:ind w:left="0"/>
        <w:jc w:val="both"/>
      </w:pPr>
      <w:r>
        <w:rPr>
          <w:rFonts w:ascii="Times New Roman"/>
          <w:b w:val="false"/>
          <w:i w:val="false"/>
          <w:color w:val="000000"/>
          <w:sz w:val="28"/>
        </w:rPr>
        <w:t xml:space="preserve">
      (а) "мәжбүрлеу практикасы" тараптың іс-қимылына жөнсіз ықпал ету мақсатында кез келген тарапқа немесе тараптың мүлкіне нұқсан келтіру немесе зиян тигізу немесе тікелей немесе жанама нұқсан немесе зиян келтіру қаупін төндіруді білдіреді;   </w:t>
      </w:r>
    </w:p>
    <w:p>
      <w:pPr>
        <w:spacing w:after="0"/>
        <w:ind w:left="0"/>
        <w:jc w:val="both"/>
      </w:pPr>
      <w:r>
        <w:rPr>
          <w:rFonts w:ascii="Times New Roman"/>
          <w:b w:val="false"/>
          <w:i w:val="false"/>
          <w:color w:val="000000"/>
          <w:sz w:val="28"/>
        </w:rPr>
        <w:t xml:space="preserve">
      (b) "сөз байласу практикасы" екі немесе одан да көп тараптардың арасындағы екінші тараптың іс-қимылына жөнсіз ықпал етуді қоса алғанда, жөнсіз мақсатқа қол жеткізуге бағытталған уағдаластықты білдіреді; </w:t>
      </w:r>
    </w:p>
    <w:p>
      <w:pPr>
        <w:spacing w:after="0"/>
        <w:ind w:left="0"/>
        <w:jc w:val="both"/>
      </w:pPr>
      <w:r>
        <w:rPr>
          <w:rFonts w:ascii="Times New Roman"/>
          <w:b w:val="false"/>
          <w:i w:val="false"/>
          <w:color w:val="000000"/>
          <w:sz w:val="28"/>
        </w:rPr>
        <w:t>
      (c) "сыбайлас жемқорлық практикасы" басқа тараптың іс-қимылдарына заңсыз ықпал ету үшін қандай да бір құндылықты тікелей немесе жанама ұсыну, беру, алу немесе бопсалауды білдіреді;</w:t>
      </w:r>
    </w:p>
    <w:p>
      <w:pPr>
        <w:spacing w:after="0"/>
        <w:ind w:left="0"/>
        <w:jc w:val="both"/>
      </w:pPr>
      <w:r>
        <w:rPr>
          <w:rFonts w:ascii="Times New Roman"/>
          <w:b w:val="false"/>
          <w:i w:val="false"/>
          <w:color w:val="000000"/>
          <w:sz w:val="28"/>
        </w:rPr>
        <w:t>
      (d) "алаяқтық практикасы" қаржылық немесе өзге пайда алу үшін немесе міндеттемелерден жалтару үшін тарапты қасақана немесе байқаусыздан жаңылдыратын немесе жаңылдыруға тырысатын фактілерді бұрмалауды қоса алғанда, кез келген әрекетті немесе әрекетсіздікті білдіреді.</w:t>
      </w:r>
    </w:p>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Басқа да ережелер</w:t>
      </w:r>
    </w:p>
    <w:p>
      <w:pPr>
        <w:spacing w:after="0"/>
        <w:ind w:left="0"/>
        <w:jc w:val="both"/>
      </w:pPr>
      <w:r>
        <w:rPr>
          <w:rFonts w:ascii="Times New Roman"/>
          <w:b w:val="false"/>
          <w:i w:val="false"/>
          <w:color w:val="000000"/>
          <w:sz w:val="28"/>
        </w:rPr>
        <w:t>
      5.01-бөлім. Қазақстан Республикасының Денсаулық сақтау министрі Алушының өкілі ретінде "Грант туралы ережелердің" 11.02-бөлімінің мақсаттары үшін Алушының өкілі болып айқындалды.</w:t>
      </w:r>
    </w:p>
    <w:p>
      <w:pPr>
        <w:spacing w:after="0"/>
        <w:ind w:left="0"/>
        <w:jc w:val="both"/>
      </w:pPr>
      <w:r>
        <w:rPr>
          <w:rFonts w:ascii="Times New Roman"/>
          <w:b w:val="false"/>
          <w:i w:val="false"/>
          <w:color w:val="000000"/>
          <w:sz w:val="28"/>
        </w:rPr>
        <w:t>
      5.02-бөлім. Төменде келтірілген мекенжайлар "Грант туралы ережелердің" 11.01-бөлімінің мақсаттары үшін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Алушы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Мәңгілік Ел  даңғылы, 8, 5-кіреберіс</w:t>
      </w:r>
    </w:p>
    <w:p>
      <w:pPr>
        <w:spacing w:after="0"/>
        <w:ind w:left="0"/>
        <w:jc w:val="both"/>
      </w:pPr>
      <w:r>
        <w:rPr>
          <w:rFonts w:ascii="Times New Roman"/>
          <w:b w:val="false"/>
          <w:i w:val="false"/>
          <w:color w:val="000000"/>
          <w:sz w:val="28"/>
        </w:rPr>
        <w:t>
      Нұр-Сұлтан қ., 010000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 нөмірі: (+7 7172) 742874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АДБ</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6 ADB Авеню</w:t>
      </w:r>
    </w:p>
    <w:p>
      <w:pPr>
        <w:spacing w:after="0"/>
        <w:ind w:left="0"/>
        <w:jc w:val="both"/>
      </w:pPr>
      <w:r>
        <w:rPr>
          <w:rFonts w:ascii="Times New Roman"/>
          <w:b w:val="false"/>
          <w:i w:val="false"/>
          <w:color w:val="000000"/>
          <w:sz w:val="28"/>
        </w:rPr>
        <w:t>
            Мандальон сити</w:t>
      </w:r>
    </w:p>
    <w:p>
      <w:pPr>
        <w:spacing w:after="0"/>
        <w:ind w:left="0"/>
        <w:jc w:val="both"/>
      </w:pPr>
      <w:r>
        <w:rPr>
          <w:rFonts w:ascii="Times New Roman"/>
          <w:b w:val="false"/>
          <w:i w:val="false"/>
          <w:color w:val="000000"/>
          <w:sz w:val="28"/>
        </w:rPr>
        <w:t>
      1550 Метро Манила, Филиппины</w:t>
      </w:r>
    </w:p>
    <w:p>
      <w:pPr>
        <w:spacing w:after="0"/>
        <w:ind w:left="0"/>
        <w:jc w:val="both"/>
      </w:pPr>
      <w:r>
        <w:rPr>
          <w:rFonts w:ascii="Times New Roman"/>
          <w:b w:val="false"/>
          <w:i w:val="false"/>
          <w:color w:val="000000"/>
          <w:sz w:val="28"/>
        </w:rPr>
        <w:t>
      Факс нөмірі: (632) 8636-2444</w:t>
      </w:r>
    </w:p>
    <w:p>
      <w:pPr>
        <w:spacing w:after="0"/>
        <w:ind w:left="0"/>
        <w:jc w:val="both"/>
      </w:pPr>
      <w:r>
        <w:rPr>
          <w:rFonts w:ascii="Times New Roman"/>
          <w:b w:val="false"/>
          <w:i w:val="false"/>
          <w:color w:val="000000"/>
          <w:sz w:val="28"/>
        </w:rPr>
        <w:t>
      Жоғарыда баяндалғанды РАСТАУ үшін тараптар өздерінің уәкілетті өкілдері арқылы әрекет ете отырып, осы Грант туралы келісімге өз аттарынан қол қойды және бұдан бұрын жоғарыда көрсетілген жылы және күні оны АДБ штаб-пәтеріне жіберді.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Алексей Цой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АЗИЯ ДАМУ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өкіл</w:t>
            </w:r>
          </w:p>
        </w:tc>
      </w:tr>
    </w:tbl>
    <w:bookmarkStart w:name="z14" w:id="6"/>
    <w:p>
      <w:pPr>
        <w:spacing w:after="0"/>
        <w:ind w:left="0"/>
        <w:jc w:val="both"/>
      </w:pPr>
      <w:r>
        <w:rPr>
          <w:rFonts w:ascii="Times New Roman"/>
          <w:b w:val="false"/>
          <w:i w:val="false"/>
          <w:color w:val="000000"/>
          <w:sz w:val="28"/>
        </w:rPr>
        <w:t>
      1-ҚОСЫМША</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сипаттамасы</w:t>
      </w:r>
    </w:p>
    <w:p>
      <w:pPr>
        <w:spacing w:after="0"/>
        <w:ind w:left="0"/>
        <w:jc w:val="both"/>
      </w:pPr>
      <w:r>
        <w:rPr>
          <w:rFonts w:ascii="Times New Roman"/>
          <w:b w:val="false"/>
          <w:i w:val="false"/>
          <w:color w:val="000000"/>
          <w:sz w:val="28"/>
        </w:rPr>
        <w:t>
      1. Жоба 2019 жылғы (COVID-19) коронавирус инфекциясының пандемиясынан зардап шеккен қоғамдастықтарға өмірді құтқару жөніндегі көрсетілетін қызметтерді ұсынуға байланысты іс-шаралардан тұрады.</w:t>
      </w:r>
    </w:p>
    <w:p>
      <w:pPr>
        <w:spacing w:after="0"/>
        <w:ind w:left="0"/>
        <w:jc w:val="both"/>
      </w:pPr>
      <w:r>
        <w:rPr>
          <w:rFonts w:ascii="Times New Roman"/>
          <w:b w:val="false"/>
          <w:i w:val="false"/>
          <w:color w:val="000000"/>
          <w:sz w:val="28"/>
        </w:rPr>
        <w:t>
      2. Гранттың қаражаты: (а)  халықтың неғұрлым осал топтары, атап айтқанда ауылдық жерлерде пайдалану үшін дәрі-дәрмектер мен медициналық керек-жарақтарды сатып алуға; және/немесе (б) жергілікті ауруханалар мен медициналық орталықтардың, оның ішінде қарқынды терапия бөлімшелері үшін емдеу әлеуетін арттыруға арналған медициналық жабдық сатып алуды қоса алғанда, соларға 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 қаражатын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Игеру рәсімдері</w:t>
      </w:r>
    </w:p>
    <w:p>
      <w:pPr>
        <w:spacing w:after="0"/>
        <w:ind w:left="0"/>
        <w:jc w:val="both"/>
      </w:pPr>
      <w:r>
        <w:rPr>
          <w:rFonts w:ascii="Times New Roman"/>
          <w:b w:val="false"/>
          <w:i w:val="false"/>
          <w:color w:val="000000"/>
          <w:sz w:val="28"/>
        </w:rPr>
        <w:t>
      1. Осы Грант туралы келісімде көрсетілген жағдайларды қоспағанда немесе АДБ-мен өзге уағдаластықтарға қол жеткізілген жағдайда, Грант қаражаты мерзімді түзетулерімен 2017 жылғы маусымдағы АДБ-ның "Кредиттік қаражатты жұмсау жөніндегі анықтамалыққа" (бұдан әрі – "АДБ кредиттік қаражатты жұмсау жөніндегі анықтамалығы") сәйкес бөлінеді.</w:t>
      </w:r>
    </w:p>
    <w:p>
      <w:pPr>
        <w:spacing w:after="0"/>
        <w:ind w:left="0"/>
        <w:jc w:val="both"/>
      </w:pPr>
      <w:r>
        <w:rPr>
          <w:rFonts w:ascii="Times New Roman"/>
          <w:b w:val="false"/>
          <w:i w:val="false"/>
          <w:color w:val="000000"/>
          <w:sz w:val="28"/>
        </w:rPr>
        <w:t>
      2. Алушы күшіне енген күннен кейін бірден Алушының Ұлттық банкінде немесе АДБ үшін қолайлы коммерциялық банкте аванстық шот ашуға міндеттенеді немесе Алушы АДБ үшін қолайлы коммерциялық банкте үшінші тараптың атына осындай аванстық шотты көрсетуге міндеттенеді. Егер осы Грант туралы келісімде өзгеше көзделмесе, аванстық шот "АДБ кредиттік қаражатын жұмсау жөніндегі анықтамалығы" сәйкес құрылуға, басқарылуға және таратылуға тиіс. АҚШ доллары аванстық шот валютасы болып табылады.</w:t>
      </w:r>
    </w:p>
    <w:p>
      <w:pPr>
        <w:spacing w:after="0"/>
        <w:ind w:left="0"/>
        <w:jc w:val="both"/>
      </w:pPr>
      <w:r>
        <w:rPr>
          <w:rFonts w:ascii="Times New Roman"/>
          <w:b w:val="false"/>
          <w:i w:val="false"/>
          <w:color w:val="000000"/>
          <w:sz w:val="28"/>
        </w:rPr>
        <w:t>
      3. "АДБ кредиттік қаражатын жұмсау жөніндегі анықтамалықта" көрсетілген кері ережелерге қарамастан, Алушы осы Грант туралы келісімге қол қойылғаннан кейін бірден АДБ-ға осы 2-қосымшаға 1-салымда қоса беріліп отырған нысан бойынша Алушының атынан осы Грант туралы келісімге қол қойған адам немесе осындай өкіл Алушының атынан қаражат алуға арналған өтінімге жазбаша нысанда қол қоюға уәкілеттік берген кез келген адам тиісінше қол қойған қаражатты алуға арналған өтінімді беруге міндеттенеді. Алушы жобадағы АДБ-ның болжамды үлесі туралы есепті беруге тиіс емес.</w:t>
      </w:r>
    </w:p>
    <w:p>
      <w:pPr>
        <w:spacing w:after="0"/>
        <w:ind w:left="0"/>
        <w:jc w:val="both"/>
      </w:pPr>
      <w:r>
        <w:rPr>
          <w:rFonts w:ascii="Times New Roman"/>
          <w:b w:val="false"/>
          <w:i w:val="false"/>
          <w:color w:val="000000"/>
          <w:sz w:val="28"/>
        </w:rPr>
        <w:t>
      4. Нысаны мен болмысы жағынан АДБ үшін қолайлы Алушының қаражатты шешіп алуға арналған өтінімін алғаннан кейін бірден АДБ Гранттың бүкіл сомасын Алушының аванстық шотына аударуға міндеттенеді.</w:t>
      </w:r>
    </w:p>
    <w:p>
      <w:pPr>
        <w:spacing w:after="0"/>
        <w:ind w:left="0"/>
        <w:jc w:val="both"/>
      </w:pPr>
      <w:r>
        <w:rPr>
          <w:rFonts w:ascii="Times New Roman"/>
          <w:b w:val="false"/>
          <w:i w:val="false"/>
          <w:color w:val="000000"/>
          <w:sz w:val="28"/>
        </w:rPr>
        <w:t>
      5. Грант жабылған күннен кейін бірден Алушы Іске асырушы агенттік арқылы АДБ-ға аванстық шотқа аударылған авансты жою үшін осы 2-қосымшаға 2-салымда қоса берілген нысан бойынша шығыстар туралы есепті ұсынуға міндеттенеді. "АДБ-ның кредиттік қаражатын, жұмсау жөніндегі анықтамалықта" көрсетілген кері ережелерге қарамастан, шығыс ведомосінің рәсімі пайдаланылатын келісімшарт сомасының ең жоғары шекарасы қолданылмайды. Келісімшарттарды, шот-фактураларды және түбіртектерді қоса алғанда, барлық растайтын құжаттар Алушыда сақталуға және АДБ-ның немесе АДБ тағайындаған кез келген аудиторға зерттеу үшін берілуге тиіс.</w:t>
      </w:r>
    </w:p>
    <w:p>
      <w:pPr>
        <w:spacing w:after="0"/>
        <w:ind w:left="0"/>
        <w:jc w:val="both"/>
      </w:pPr>
      <w:r>
        <w:rPr>
          <w:rFonts w:ascii="Times New Roman"/>
          <w:b w:val="false"/>
          <w:i w:val="false"/>
          <w:color w:val="000000"/>
          <w:sz w:val="28"/>
        </w:rPr>
        <w:t>
      6. АДБ-ның талап етуі бойынша Алушы Іске асырушы агенттік арқылы дереу Гранттың жойылмаған авансының кез келген қалдығын АДБ-ға қайтаруға міндеттенеді. Алушы Іске асырушы агенттік арқылы АДБ-ның талап етуі бойынша сатып алынуына қатысты АДБ (a) Алушы өкілдерінің немесе Гранттың кез келген бенефициарларының сыбайлас жемқорлық, алаяқтық, сөз байласу немесе мәжбүрлеу практикасын пайдалануын, бұл ретте Алушы жағдайды түзету үшін АДБ-ны қанағаттандыратын уақтылы және тиімді шаралар қолданбағанын немесе (b) осы Грант туралы келісімде баяндалған  сатып алу рәсімінің сәйкессіздігін анықтаған тауарларға, жұмыстарға немесе көрсетілетін қызметтерге арналған келісімшартты толық немесе ішінара қаржыландыру үшін пайдаланылған Грант қаражатының кез келген сомасын АДБ-ға дереу өтеуге міндеттенеді. Аталған бөлімнің мақсаттары үшін "сыбайлас жемқорлық практикасы", "алаяқтық практикасы", "сөз байласу практикасы" немесе "мәжбүрлеу практикасы" терминдері осы Грант туралы келісімнің 4.07-бөлімінде көрсетілген мағыналарға 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Қарсы қаржыландыру</w:t>
      </w:r>
    </w:p>
    <w:p>
      <w:pPr>
        <w:spacing w:after="0"/>
        <w:ind w:left="0"/>
        <w:jc w:val="both"/>
      </w:pPr>
      <w:r>
        <w:rPr>
          <w:rFonts w:ascii="Times New Roman"/>
          <w:b w:val="false"/>
          <w:i w:val="false"/>
          <w:color w:val="000000"/>
          <w:sz w:val="28"/>
        </w:rPr>
        <w:t>
      7. Алушы Грант қаражатын қолданылатын салықтарды қоса алғанда,  100 %-ға дейін қолайлы шығыстарды төлеу үшін пайдалана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Ретроактивтік қаржыландыру</w:t>
      </w:r>
    </w:p>
    <w:p>
      <w:pPr>
        <w:spacing w:after="0"/>
        <w:ind w:left="0"/>
        <w:jc w:val="both"/>
      </w:pPr>
      <w:r>
        <w:rPr>
          <w:rFonts w:ascii="Times New Roman"/>
          <w:b w:val="false"/>
          <w:i w:val="false"/>
          <w:color w:val="000000"/>
          <w:sz w:val="28"/>
        </w:rPr>
        <w:t>
      8. Алушы Грант қаражатының бір бөлігін Жоба шеңберінде шеккен қолайлы шығыстарды өтеу үшін Күшіне енген күнге дейін, бірақ ерте дегенде 2020 жылғы 16 наурыздағы апаттарға ден қою жөніндегі ұлттық іс-шараларды қолдау үшін ұлттық үкімет ресурстары мақұлданған соң осындай қаржыландырудың ең жоғары сомасы Грант сомасының 30 %-ына баламалы болуы шартымен пайдалана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қосымшаға 1-салым</w:t>
            </w:r>
            <w:r>
              <w:br/>
            </w:r>
            <w:r>
              <w:rPr>
                <w:rFonts w:ascii="Times New Roman"/>
                <w:b w:val="false"/>
                <w:i w:val="false"/>
                <w:color w:val="000000"/>
                <w:sz w:val="20"/>
              </w:rPr>
              <w:t>(1-бет)</w:t>
            </w:r>
          </w:p>
        </w:tc>
      </w:tr>
    </w:tbl>
    <w:p>
      <w:pPr>
        <w:spacing w:after="0"/>
        <w:ind w:left="0"/>
        <w:jc w:val="left"/>
      </w:pPr>
      <w:r>
        <w:br/>
      </w:r>
    </w:p>
    <w:p>
      <w:pPr>
        <w:spacing w:after="0"/>
        <w:ind w:left="0"/>
        <w:jc w:val="both"/>
      </w:pPr>
      <w:r>
        <w:drawing>
          <wp:inline distT="0" distB="0" distL="0" distR="0">
            <wp:extent cx="74549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2-қосымшаға 1-салым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(2-бет)</w:t>
            </w:r>
          </w:p>
        </w:tc>
      </w:tr>
    </w:tbl>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Қаражатты алуға өтінімді дайындау жөніндегі нұсқаулық (АДБ № ADB-WA нысаны)</w:t>
      </w:r>
    </w:p>
    <w:bookmarkEnd w:id="8"/>
    <w:bookmarkStart w:name="z19" w:id="9"/>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нұсқаулықтар</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Қаражатты шешіп алу кезіндегі сілтемелер</w:t>
      </w:r>
    </w:p>
    <w:p>
      <w:pPr>
        <w:spacing w:after="0"/>
        <w:ind w:left="0"/>
        <w:jc w:val="both"/>
      </w:pPr>
      <w:r>
        <w:rPr>
          <w:rFonts w:ascii="Times New Roman"/>
          <w:b w:val="false"/>
          <w:i w:val="false"/>
          <w:color w:val="000000"/>
          <w:sz w:val="28"/>
        </w:rPr>
        <w:t>
      АДБ грантының №: АДБ Грант туралы келісімге берген нөмірді көрсету (яғни Грант + [4 таңбалы сериялық нөмір]-[елдің 3 таңбалы коды]).</w:t>
      </w:r>
    </w:p>
    <w:p>
      <w:pPr>
        <w:spacing w:after="0"/>
        <w:ind w:left="0"/>
        <w:jc w:val="both"/>
      </w:pPr>
      <w:r>
        <w:rPr>
          <w:rFonts w:ascii="Times New Roman"/>
          <w:b w:val="false"/>
          <w:i w:val="false"/>
          <w:color w:val="000000"/>
          <w:sz w:val="28"/>
        </w:rPr>
        <w:t xml:space="preserve">
      Өтінімнің №: 5 цифрден немесе символдан асырмай, ҚШӨ-ні рет-ретімен нөмірлеу. Егер жобада атқарушы агенттік (АА) немесе іске асырушы агенттік біреуден артық болса, жоба үйлестірушісі әрбір АА-ға альфа-сәйкестендіруді беруі тиіс, мысалы, № 1 АА үшін A0001-ден A9999-ға дейін және №АА 2 үшін B0001-ден B9999-ға дейін. </w:t>
      </w:r>
    </w:p>
    <w:p>
      <w:pPr>
        <w:spacing w:after="0"/>
        <w:ind w:left="0"/>
        <w:jc w:val="both"/>
      </w:pPr>
      <w:r>
        <w:rPr>
          <w:rFonts w:ascii="Times New Roman"/>
          <w:b w:val="false"/>
          <w:i w:val="false"/>
          <w:color w:val="000000"/>
          <w:sz w:val="28"/>
        </w:rPr>
        <w:t>
      1.  Игеру түрі: (i) Бастапқы аванс үшін, (ii) тек жою үшін болсын, төлем түрінің тиісті жолына белгі қойыңыз.</w:t>
      </w:r>
    </w:p>
    <w:p>
      <w:pPr>
        <w:spacing w:after="0"/>
        <w:ind w:left="0"/>
        <w:jc w:val="both"/>
      </w:pPr>
      <w:r>
        <w:rPr>
          <w:rFonts w:ascii="Times New Roman"/>
          <w:b w:val="false"/>
          <w:i w:val="false"/>
          <w:color w:val="000000"/>
          <w:sz w:val="28"/>
        </w:rPr>
        <w:t>
      2.  Өтінім сомасы</w:t>
      </w:r>
    </w:p>
    <w:p>
      <w:pPr>
        <w:spacing w:after="0"/>
        <w:ind w:left="0"/>
        <w:jc w:val="both"/>
      </w:pPr>
      <w:r>
        <w:rPr>
          <w:rFonts w:ascii="Times New Roman"/>
          <w:b w:val="false"/>
          <w:i w:val="false"/>
          <w:color w:val="000000"/>
          <w:sz w:val="28"/>
        </w:rPr>
        <w:t>
      Өтінім валютасы: Төлем үшін сұратылатын валютаның атауын көрсету. Өтінімнің әрбір валютасы мен әрбір алушы үшін жеке ҚШӨ дайындау. Аванстық шот рәсіміне арналған өтінім валютасы аванстық шот валютасы болып табылады.</w:t>
      </w:r>
    </w:p>
    <w:p>
      <w:pPr>
        <w:spacing w:after="0"/>
        <w:ind w:left="0"/>
        <w:jc w:val="both"/>
      </w:pPr>
      <w:r>
        <w:rPr>
          <w:rFonts w:ascii="Times New Roman"/>
          <w:b w:val="false"/>
          <w:i w:val="false"/>
          <w:color w:val="000000"/>
          <w:sz w:val="28"/>
        </w:rPr>
        <w:t>
      Өтінім сомасы: Төлеуге жататын соманы цифрлармен және сөздермен көрсету. Сома шығыстар ведомосінің (ведомостерінің) (ШВ) сомасына тең болуы тиіс.</w:t>
      </w:r>
    </w:p>
    <w:p>
      <w:pPr>
        <w:spacing w:after="0"/>
        <w:ind w:left="0"/>
        <w:jc w:val="both"/>
      </w:pPr>
      <w:r>
        <w:rPr>
          <w:rFonts w:ascii="Times New Roman"/>
          <w:b w:val="false"/>
          <w:i w:val="false"/>
          <w:color w:val="000000"/>
          <w:sz w:val="28"/>
        </w:rPr>
        <w:t>
      3.  Ақы төлеу жөніндегі нұсқаулықтар</w:t>
      </w:r>
    </w:p>
    <w:p>
      <w:pPr>
        <w:spacing w:after="0"/>
        <w:ind w:left="0"/>
        <w:jc w:val="both"/>
      </w:pPr>
      <w:r>
        <w:rPr>
          <w:rFonts w:ascii="Times New Roman"/>
          <w:b w:val="false"/>
          <w:i w:val="false"/>
          <w:color w:val="000000"/>
          <w:sz w:val="28"/>
        </w:rPr>
        <w:t>
      A. Алушының мекенжайы мен атауы: Төлемді сәйкестендіру үшін алушының толық атауын және мекенжайын көрсету.</w:t>
      </w:r>
    </w:p>
    <w:p>
      <w:pPr>
        <w:spacing w:after="0"/>
        <w:ind w:left="0"/>
        <w:jc w:val="both"/>
      </w:pPr>
      <w:r>
        <w:rPr>
          <w:rFonts w:ascii="Times New Roman"/>
          <w:b w:val="false"/>
          <w:i w:val="false"/>
          <w:color w:val="000000"/>
          <w:sz w:val="28"/>
        </w:rPr>
        <w:t>
      B. Алушы банкінің атауы мен мекенжайы және шоттың №: Банкирдің және / немесе филиалдың атауын қамтуы мүмкін алушы банкінің толық атауын және мекенжайын көрсетіңіз. Шот нөмірін көрсету маңызды. Егер алушының банкі SWIFT мүшесі болса, SWIFT кодын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2-қосымшаға 1-салым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(3-бет)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C. Корреспондент-банк:</w:t>
      </w:r>
      <w:r>
        <w:rPr>
          <w:rFonts w:ascii="Times New Roman"/>
          <w:b w:val="false"/>
          <w:i w:val="false"/>
          <w:color w:val="000000"/>
          <w:sz w:val="28"/>
        </w:rPr>
        <w:t xml:space="preserve"> Төлем оның валютасының елінде жоқ алушының банкіне төленуі тиіс болған кезде төлем валютасының елінде орналасқан корреспондент-банктің толық атауы мен мекенжайын көрсету қажет. Егер банк SWIFT мүшесі болса, SWIFT кодын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Арнайы нұсқаулықтар:</w:t>
      </w:r>
      <w:r>
        <w:rPr>
          <w:rFonts w:ascii="Times New Roman"/>
          <w:b w:val="false"/>
          <w:i w:val="false"/>
          <w:color w:val="000000"/>
          <w:sz w:val="28"/>
        </w:rPr>
        <w:t xml:space="preserve"> Төлемді жүзеге асыруды немесе төлемді сәйкестендіруді жеңілдету үшін қандай да бір егжей-тегжейлі мәліметтерді, арнайы нұсқаулықтарды немесе сілтемелерді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Құжаттама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 ведомосі:</w:t>
      </w:r>
      <w:r>
        <w:rPr>
          <w:rFonts w:ascii="Times New Roman"/>
          <w:b w:val="false"/>
          <w:i w:val="false"/>
          <w:color w:val="000000"/>
          <w:sz w:val="28"/>
        </w:rPr>
        <w:t xml:space="preserve"> Әрбір санат немесе кіші санат үшін жеке нысанды беру. Бір өнім берушіге төлем тармақтарын бір-бірінің астына тізімдеу. Бұл нысан саясат шаралары (PBL) негізінде кредиттеуге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Аванстық шотты салыстыру актісі: </w:t>
      </w:r>
      <w:r>
        <w:rPr>
          <w:rFonts w:ascii="Times New Roman"/>
          <w:b w:val="false"/>
          <w:i w:val="false"/>
          <w:color w:val="000000"/>
          <w:sz w:val="28"/>
        </w:rPr>
        <w:t>Бұл нысанды аванстық шотты жою үшін жіберу. Тиісті банктік үзінді көшірме бойынша түпкілікті баланстың көшірмесін қоса беру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Растау және қол қою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Растаулар:</w:t>
      </w:r>
      <w:r>
        <w:rPr>
          <w:rFonts w:ascii="Times New Roman"/>
          <w:b w:val="false"/>
          <w:i w:val="false"/>
          <w:color w:val="000000"/>
          <w:sz w:val="28"/>
        </w:rPr>
        <w:t xml:space="preserve"> Егер АДБ-мен өзгеше келісілмесе, кез келген растаулардың өзгерістері жарамды немесе міндетті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(Қарыз алушының немесе Алушының ТАӘ/атауы):</w:t>
      </w:r>
      <w:r>
        <w:rPr>
          <w:rFonts w:ascii="Times New Roman"/>
          <w:b w:val="false"/>
          <w:i w:val="false"/>
          <w:color w:val="000000"/>
          <w:sz w:val="28"/>
        </w:rPr>
        <w:t xml:space="preserve"> Грант туралы келісімде көрсетілгендей ТАӘ/атауын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қойылған күні:</w:t>
      </w:r>
      <w:r>
        <w:rPr>
          <w:rFonts w:ascii="Times New Roman"/>
          <w:b w:val="false"/>
          <w:i w:val="false"/>
          <w:color w:val="000000"/>
          <w:sz w:val="28"/>
        </w:rPr>
        <w:t xml:space="preserve"> ҚШӨ дайындау күнін емес, уәкілетті өкілдің (өкілдердің) оған қол қойған күнін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 (өкілдер):</w:t>
      </w:r>
      <w:r>
        <w:rPr>
          <w:rFonts w:ascii="Times New Roman"/>
          <w:b w:val="false"/>
          <w:i w:val="false"/>
          <w:color w:val="000000"/>
          <w:sz w:val="28"/>
        </w:rPr>
        <w:t xml:space="preserve"> Аталған өтінімді АДБ ұсынған қаражатты шешіп алуға арналған өтінімдерге қол қоюға арналған Сенімхатта көрсетілген уәкілетті өкілге (өкілдерге) беру. Уәкілетті өкілдер тізімінің өзгермегенін растау.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2-қосымшаға 2-салым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 2017</w:t>
            </w:r>
          </w:p>
        </w:tc>
      </w:tr>
    </w:tbl>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